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B6F5D" w14:textId="71B93510" w:rsidR="00B93683" w:rsidRPr="0058720E" w:rsidRDefault="00B93683" w:rsidP="00B93683">
      <w:pPr>
        <w:pStyle w:val="Heading1"/>
        <w:rPr>
          <w:i/>
        </w:rPr>
      </w:pPr>
      <w:r w:rsidRPr="0058720E">
        <w:t>Supplementary information</w:t>
      </w:r>
    </w:p>
    <w:p w14:paraId="4D1C3F17" w14:textId="77777777" w:rsidR="00B93683" w:rsidRPr="006A5358" w:rsidRDefault="00B93683" w:rsidP="00B93683">
      <w:pPr>
        <w:pStyle w:val="Heading2"/>
      </w:pPr>
    </w:p>
    <w:p w14:paraId="4FAD3C62" w14:textId="77777777" w:rsidR="00B93683" w:rsidRPr="006A5358" w:rsidRDefault="00B93683" w:rsidP="00B93683">
      <w:pPr>
        <w:pStyle w:val="Heading2"/>
      </w:pPr>
      <w:bookmarkStart w:id="0" w:name="_Hlk153868510"/>
      <w:r w:rsidRPr="006A5358">
        <w:t>Intervention Design | Phase I Design:</w:t>
      </w:r>
    </w:p>
    <w:p w14:paraId="43F24C13" w14:textId="77777777" w:rsidR="00B93683" w:rsidRPr="006A5358" w:rsidRDefault="00B93683" w:rsidP="006A5358">
      <w:pPr>
        <w:jc w:val="both"/>
        <w:rPr>
          <w:rFonts w:ascii="Times New Roman" w:eastAsia="Times New Roman" w:hAnsi="Times New Roman" w:cs="Times New Roman"/>
          <w:sz w:val="20"/>
          <w:szCs w:val="20"/>
          <w:lang w:eastAsia="en-GB"/>
        </w:rPr>
      </w:pPr>
      <w:r w:rsidRPr="006A5358">
        <w:rPr>
          <w:rFonts w:ascii="Times New Roman" w:eastAsia="Times New Roman" w:hAnsi="Times New Roman" w:cs="Times New Roman"/>
          <w:sz w:val="20"/>
          <w:szCs w:val="20"/>
          <w:lang w:eastAsia="en-GB"/>
        </w:rPr>
        <w:t>School’s eligibility for participation in the study was based on their location in regional Victoria. Due to this criterion, there was a high chance the study would include Aboriginal children as participants. The project team wanted to create the digital training intervention to be inclusive and engaging for any Aboriginal children that participated. To ensure elements of Aboriginal culture were appropriately incorporated into the intervention, an Aboriginal research officer was employed to lead this section of work. An Aboriginal community Elder was consulted to provide feedback and guidance on the naming of the game, design elements to ensure the game was developed with Aboriginal children in mind, and that the design elements fit seamlessly and appropriately into the game. An Aboriginal graphic designer met with the game designer and was contracted to design culturally appropriate elements to fit the game. An Aboriginal musician provided background sounds and music. In addition, two Aboriginal psychology students provided feedback.</w:t>
      </w:r>
    </w:p>
    <w:bookmarkEnd w:id="0"/>
    <w:p w14:paraId="415D51E3" w14:textId="77777777" w:rsidR="00B93683" w:rsidRPr="006A5358" w:rsidRDefault="00B93683" w:rsidP="00B93683">
      <w:pPr>
        <w:pStyle w:val="Heading2"/>
      </w:pPr>
    </w:p>
    <w:p w14:paraId="341B5B44" w14:textId="77777777" w:rsidR="00B93683" w:rsidRPr="006A5358" w:rsidRDefault="00B93683" w:rsidP="00B93683">
      <w:pPr>
        <w:pStyle w:val="Heading2"/>
      </w:pPr>
      <w:r w:rsidRPr="006A5358">
        <w:t xml:space="preserve">Pilot data | Phase I Design: Educator Interviews and Student Focus Groups  </w:t>
      </w:r>
    </w:p>
    <w:p w14:paraId="18890577" w14:textId="77777777" w:rsidR="00B93683" w:rsidRPr="006A5358" w:rsidRDefault="00B93683" w:rsidP="00B93683">
      <w:pPr>
        <w:spacing w:after="0"/>
        <w:ind w:firstLine="720"/>
        <w:jc w:val="both"/>
        <w:rPr>
          <w:rFonts w:ascii="Times New Roman" w:eastAsia="Times New Roman" w:hAnsi="Times New Roman" w:cs="Times New Roman"/>
          <w:color w:val="000000"/>
          <w:sz w:val="20"/>
          <w:szCs w:val="20"/>
          <w:lang w:eastAsia="en-GB"/>
        </w:rPr>
      </w:pPr>
      <w:r w:rsidRPr="006A5358">
        <w:rPr>
          <w:rFonts w:ascii="Times New Roman" w:eastAsia="Times New Roman" w:hAnsi="Times New Roman" w:cs="Times New Roman"/>
          <w:color w:val="000000"/>
          <w:sz w:val="20"/>
          <w:szCs w:val="20"/>
          <w:lang w:eastAsia="en-GB"/>
        </w:rPr>
        <w:t>To ensure that the new digital training intervention was suitable and our delivery approach feasible, we conducted focus groups with 77 primary school students (5 to 9 years, mean age = 7.75 years) and collected surveys from 8 Grade 1 and 2 educators from 4 schools across Victoria (June – December 2020). Educators completed an initial survey that asked about challenges in the classroom, digital technology use, and cognitive training programs. Educators indicated that the biggest challenges that students in their classroom faced were poor concentration (62.5%), unique needs of students (e.g., neurodevelopmental disorders or trauma; 37.5%), lack of availability of technology (25%), ranging abilities of students (25%) and lack of parent support (25%). Of the educators surveyed, 87.5% said problems in cognitive skills had a major or large impact on learning. Difficulties with memory and inhibition were rated as the most problematic cognitive weaknesses. Despite these difficulties, when asked if they had the resources to support cognitive development in childhood, 50% of educators responded, “</w:t>
      </w:r>
      <w:r w:rsidRPr="006A5358">
        <w:rPr>
          <w:rFonts w:ascii="Times New Roman" w:eastAsia="Times New Roman" w:hAnsi="Times New Roman" w:cs="Times New Roman"/>
          <w:i/>
          <w:iCs/>
          <w:color w:val="000000"/>
          <w:sz w:val="20"/>
          <w:szCs w:val="20"/>
          <w:lang w:eastAsia="en-GB"/>
        </w:rPr>
        <w:t>not at all</w:t>
      </w:r>
      <w:r w:rsidRPr="006A5358">
        <w:rPr>
          <w:rFonts w:ascii="Times New Roman" w:eastAsia="Times New Roman" w:hAnsi="Times New Roman" w:cs="Times New Roman"/>
          <w:color w:val="000000"/>
          <w:sz w:val="20"/>
          <w:szCs w:val="20"/>
          <w:lang w:eastAsia="en-GB"/>
        </w:rPr>
        <w:t>” and 50% responded “</w:t>
      </w:r>
      <w:r w:rsidRPr="006A5358">
        <w:rPr>
          <w:rFonts w:ascii="Times New Roman" w:eastAsia="Times New Roman" w:hAnsi="Times New Roman" w:cs="Times New Roman"/>
          <w:i/>
          <w:iCs/>
          <w:color w:val="000000"/>
          <w:sz w:val="20"/>
          <w:szCs w:val="20"/>
          <w:lang w:eastAsia="en-GB"/>
        </w:rPr>
        <w:t>somewhat.</w:t>
      </w:r>
      <w:r w:rsidRPr="006A5358">
        <w:rPr>
          <w:rFonts w:ascii="Times New Roman" w:eastAsia="Times New Roman" w:hAnsi="Times New Roman" w:cs="Times New Roman"/>
          <w:color w:val="000000"/>
          <w:sz w:val="20"/>
          <w:szCs w:val="20"/>
          <w:lang w:eastAsia="en-GB"/>
        </w:rPr>
        <w:t xml:space="preserve">” Further, although 87.5% of educators thought it was important for them to be involved in the development of school-based cognitive interventions, none of the surveyed educators had previously been approached with this opportunity. All educators surveyed had access to technology and the internet, had previously used technology to support their teaching, and found these digital tools useful. 50% of educators used digital technology more than once a day, 25% once a day, 12.5% 1-2 times a week and 12.5% less </w:t>
      </w:r>
      <w:r w:rsidRPr="006A5358">
        <w:rPr>
          <w:rFonts w:ascii="Times New Roman" w:eastAsia="Times New Roman" w:hAnsi="Times New Roman" w:cs="Times New Roman"/>
          <w:color w:val="000000"/>
          <w:sz w:val="20"/>
          <w:szCs w:val="20"/>
          <w:lang w:eastAsia="en-GB"/>
        </w:rPr>
        <w:lastRenderedPageBreak/>
        <w:t xml:space="preserve">than once a week. </w:t>
      </w:r>
      <w:bookmarkStart w:id="1" w:name="_Hlk124168738"/>
      <w:r w:rsidRPr="006A5358">
        <w:rPr>
          <w:rFonts w:ascii="Times New Roman" w:eastAsia="Times New Roman" w:hAnsi="Times New Roman" w:cs="Times New Roman"/>
          <w:color w:val="000000"/>
          <w:sz w:val="20"/>
          <w:szCs w:val="20"/>
          <w:lang w:eastAsia="en-GB"/>
        </w:rPr>
        <w:t>Educators rated curriculum</w:t>
      </w:r>
      <w:r w:rsidRPr="006A5358">
        <w:rPr>
          <w:rFonts w:ascii="Times New Roman" w:hAnsi="Times New Roman" w:cs="Times New Roman"/>
          <w:sz w:val="20"/>
          <w:szCs w:val="20"/>
        </w:rPr>
        <w:t xml:space="preserve"> demands as the single most important factor which would determine their use of digital training interventions.</w:t>
      </w:r>
      <w:bookmarkEnd w:id="1"/>
    </w:p>
    <w:p w14:paraId="5BA35DD3" w14:textId="77777777" w:rsidR="00B93683" w:rsidRPr="006A5358" w:rsidRDefault="00B93683" w:rsidP="00B93683">
      <w:pPr>
        <w:spacing w:after="0"/>
        <w:ind w:firstLine="720"/>
        <w:jc w:val="both"/>
        <w:rPr>
          <w:rFonts w:ascii="Times New Roman" w:hAnsi="Times New Roman" w:cs="Times New Roman"/>
          <w:sz w:val="20"/>
          <w:szCs w:val="20"/>
        </w:rPr>
      </w:pPr>
      <w:r w:rsidRPr="006A5358">
        <w:rPr>
          <w:rFonts w:ascii="Times New Roman" w:hAnsi="Times New Roman" w:cs="Times New Roman"/>
          <w:sz w:val="20"/>
          <w:szCs w:val="20"/>
        </w:rPr>
        <w:t xml:space="preserve"> </w:t>
      </w:r>
    </w:p>
    <w:p w14:paraId="25535F51" w14:textId="77777777" w:rsidR="00B93683" w:rsidRPr="0058720E" w:rsidRDefault="00B93683" w:rsidP="00B93683">
      <w:pPr>
        <w:pStyle w:val="Heading2"/>
      </w:pPr>
      <w:r w:rsidRPr="0058720E">
        <w:t xml:space="preserve">Pilot data | Phase </w:t>
      </w:r>
      <w:proofErr w:type="spellStart"/>
      <w:r w:rsidRPr="0058720E">
        <w:t>IIa</w:t>
      </w:r>
      <w:proofErr w:type="spellEnd"/>
      <w:r w:rsidRPr="0058720E">
        <w:t xml:space="preserve">: Proof-of-Concept Trial   </w:t>
      </w:r>
    </w:p>
    <w:p w14:paraId="0A7C5CFA" w14:textId="77777777" w:rsidR="00B93683" w:rsidRPr="0058720E" w:rsidRDefault="00B93683" w:rsidP="00B93683">
      <w:pPr>
        <w:spacing w:after="0"/>
        <w:ind w:firstLine="720"/>
        <w:jc w:val="both"/>
        <w:rPr>
          <w:rFonts w:ascii="Times New Roman" w:hAnsi="Times New Roman" w:cs="Times New Roman"/>
          <w:sz w:val="20"/>
          <w:szCs w:val="20"/>
        </w:rPr>
      </w:pPr>
      <w:r w:rsidRPr="0058720E">
        <w:rPr>
          <w:rFonts w:ascii="Times New Roman" w:hAnsi="Times New Roman" w:cs="Times New Roman"/>
          <w:sz w:val="20"/>
          <w:szCs w:val="20"/>
        </w:rPr>
        <w:t xml:space="preserve">To assess the feasibility and viability of the school-based intervention in improving executive functioning, as well as the trial protocol, a proof-of-concept study was conducted. A total of 18 Grade 1 students (aged 6 years to 7 years 1 month; 12 males) were recruited from 3 classes from a primary school in the state of Victoria, Australia. All participating students completed cognitive assessments of inhibitory control, working memory and cognitive flexibility prior to commencing the digital intervention. The assessment measures are the same as the primary and secondary outcome measures included in the current protocol for the Phase IIb: Pilot Trial. The intervention was completed for 30 minutes during class-time 2-3 times a week, over a 7-week period during Term 2, 2022 (May-June). All the cognitive assessments were conducted again immediately after the 7-week intervention period. One participant withdrew from the study at post-training due to parent concerns about time spent away from other educational activities. </w:t>
      </w:r>
      <w:bookmarkStart w:id="2" w:name="_Hlk124170768"/>
      <w:r w:rsidRPr="0058720E">
        <w:rPr>
          <w:rFonts w:ascii="Times New Roman" w:hAnsi="Times New Roman" w:cs="Times New Roman"/>
          <w:sz w:val="20"/>
          <w:szCs w:val="20"/>
        </w:rPr>
        <w:t xml:space="preserve">Results indicated that all students were able to complete each of the outcome measures with no floor or ceiling effects, </w:t>
      </w:r>
      <w:bookmarkEnd w:id="2"/>
      <w:r w:rsidRPr="0058720E">
        <w:rPr>
          <w:rFonts w:ascii="Times New Roman" w:hAnsi="Times New Roman" w:cs="Times New Roman"/>
          <w:sz w:val="20"/>
          <w:szCs w:val="20"/>
        </w:rPr>
        <w:t xml:space="preserve">and that students were able to engage with the intervention independently in the classroom. Over the 7-week intervention period students completed an average of 5 out of a possible 20 training sessions (27%), indicating significant concerns with intervention compliance. Therefore, for the </w:t>
      </w:r>
      <w:r w:rsidRPr="0058720E">
        <w:rPr>
          <w:rFonts w:ascii="Times New Roman" w:hAnsi="Times New Roman" w:cs="Times New Roman"/>
          <w:i/>
          <w:iCs/>
          <w:sz w:val="20"/>
          <w:szCs w:val="20"/>
        </w:rPr>
        <w:t>Phase IIb: Pilot Trial</w:t>
      </w:r>
      <w:r w:rsidRPr="0058720E">
        <w:rPr>
          <w:rFonts w:ascii="Times New Roman" w:hAnsi="Times New Roman" w:cs="Times New Roman"/>
          <w:sz w:val="20"/>
          <w:szCs w:val="20"/>
        </w:rPr>
        <w:t xml:space="preserve"> specific dates and times will be agreed with educators to complete the intervention and researchers will be present for 50% of the training sessions to support educators in the implementation of the intervention during class time. </w:t>
      </w:r>
    </w:p>
    <w:p w14:paraId="60079F49" w14:textId="77777777" w:rsidR="00B93683" w:rsidRDefault="00B93683" w:rsidP="00B93683">
      <w:pPr>
        <w:spacing w:after="0"/>
        <w:ind w:firstLine="0"/>
        <w:rPr>
          <w:rFonts w:ascii="Times New Roman" w:eastAsiaTheme="majorEastAsia" w:hAnsi="Times New Roman" w:cs="Times New Roman"/>
          <w:b/>
          <w:bCs/>
          <w:iCs/>
          <w:sz w:val="20"/>
          <w:szCs w:val="20"/>
        </w:rPr>
      </w:pPr>
    </w:p>
    <w:p w14:paraId="1F76A3C4" w14:textId="77777777" w:rsidR="00B93683" w:rsidRDefault="00B93683" w:rsidP="00B93683">
      <w:pPr>
        <w:rPr>
          <w:rFonts w:ascii="Times New Roman" w:hAnsi="Times New Roman" w:cs="Times New Roman"/>
          <w:b/>
          <w:bCs/>
          <w:i/>
          <w:iCs/>
          <w:sz w:val="20"/>
          <w:szCs w:val="20"/>
        </w:rPr>
      </w:pPr>
      <w:r>
        <w:br w:type="page"/>
      </w:r>
    </w:p>
    <w:p w14:paraId="25754D6D" w14:textId="77777777" w:rsidR="00B93683" w:rsidRPr="0058720E" w:rsidRDefault="00B93683" w:rsidP="00B93683">
      <w:pPr>
        <w:pStyle w:val="Heading2"/>
      </w:pPr>
      <w:r>
        <w:lastRenderedPageBreak/>
        <w:t xml:space="preserve">Educator Feasibility Survey </w:t>
      </w:r>
      <w:r w:rsidRPr="0058720E">
        <w:t>| Phase II</w:t>
      </w:r>
      <w:r>
        <w:t>b</w:t>
      </w:r>
      <w:r w:rsidRPr="0058720E">
        <w:t>: P</w:t>
      </w:r>
      <w:r>
        <w:t xml:space="preserve">ilot </w:t>
      </w:r>
      <w:r w:rsidRPr="0058720E">
        <w:t xml:space="preserve">Trial   </w:t>
      </w:r>
    </w:p>
    <w:p w14:paraId="2028236B" w14:textId="77777777" w:rsidR="00B93683" w:rsidRPr="00614908" w:rsidRDefault="00B93683" w:rsidP="00B93683">
      <w:pPr>
        <w:spacing w:after="0" w:line="240" w:lineRule="auto"/>
        <w:ind w:firstLine="0"/>
        <w:rPr>
          <w:rFonts w:ascii="Times New Roman" w:eastAsia="Calibri" w:hAnsi="Times New Roman" w:cs="Times New Roman"/>
          <w:sz w:val="20"/>
          <w:szCs w:val="20"/>
          <w:lang w:val="en-AU"/>
        </w:rPr>
      </w:pPr>
      <w:r w:rsidRPr="00614908">
        <w:rPr>
          <w:rFonts w:ascii="Times New Roman" w:eastAsia="Calibri" w:hAnsi="Times New Roman" w:cs="Times New Roman"/>
          <w:sz w:val="20"/>
          <w:szCs w:val="20"/>
          <w:lang w:val="en-AU"/>
        </w:rPr>
        <w:t>Please read the following statements and answer by selecting the option that best describes your opinion.</w:t>
      </w:r>
    </w:p>
    <w:p w14:paraId="3EE38B06" w14:textId="77777777" w:rsidR="00B93683" w:rsidRPr="007A0722" w:rsidRDefault="00B93683" w:rsidP="00B93683">
      <w:pPr>
        <w:autoSpaceDE w:val="0"/>
        <w:autoSpaceDN w:val="0"/>
        <w:adjustRightInd w:val="0"/>
        <w:spacing w:after="0" w:line="240" w:lineRule="auto"/>
        <w:ind w:firstLine="0"/>
        <w:rPr>
          <w:rFonts w:ascii="Times New Roman" w:eastAsia="Calibri" w:hAnsi="Times New Roman" w:cs="Times New Roman"/>
          <w:sz w:val="20"/>
          <w:szCs w:val="20"/>
          <w:lang w:val="en-AU"/>
        </w:rPr>
      </w:pPr>
    </w:p>
    <w:tbl>
      <w:tblPr>
        <w:tblW w:w="5000" w:type="pct"/>
        <w:tblLook w:val="04A0" w:firstRow="1" w:lastRow="0" w:firstColumn="1" w:lastColumn="0" w:noHBand="0" w:noVBand="1"/>
      </w:tblPr>
      <w:tblGrid>
        <w:gridCol w:w="420"/>
        <w:gridCol w:w="3224"/>
        <w:gridCol w:w="1271"/>
        <w:gridCol w:w="927"/>
        <w:gridCol w:w="1131"/>
        <w:gridCol w:w="808"/>
        <w:gridCol w:w="1235"/>
      </w:tblGrid>
      <w:tr w:rsidR="00B93683" w:rsidRPr="007A0722" w14:paraId="5808EF61"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shd w:val="clear" w:color="auto" w:fill="E7E6E6"/>
          </w:tcPr>
          <w:p w14:paraId="3A594623"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p>
        </w:tc>
        <w:tc>
          <w:tcPr>
            <w:tcW w:w="1788" w:type="pct"/>
            <w:tcBorders>
              <w:top w:val="single" w:sz="4" w:space="0" w:color="auto"/>
              <w:left w:val="single" w:sz="4" w:space="0" w:color="auto"/>
              <w:bottom w:val="single" w:sz="4" w:space="0" w:color="auto"/>
              <w:right w:val="single" w:sz="4" w:space="0" w:color="auto"/>
            </w:tcBorders>
            <w:shd w:val="clear" w:color="auto" w:fill="E7E6E6"/>
          </w:tcPr>
          <w:p w14:paraId="0DE48835" w14:textId="77777777" w:rsidR="00B93683" w:rsidRPr="007A0722" w:rsidRDefault="00B93683" w:rsidP="00EF177F">
            <w:pPr>
              <w:spacing w:after="0" w:line="240" w:lineRule="auto"/>
              <w:ind w:firstLine="0"/>
              <w:rPr>
                <w:rFonts w:ascii="Times New Roman" w:eastAsia="Calibri" w:hAnsi="Times New Roman" w:cs="Times New Roman"/>
                <w:b/>
                <w:bCs/>
                <w:sz w:val="20"/>
                <w:szCs w:val="20"/>
                <w:lang w:val="en-AU"/>
              </w:rPr>
            </w:pPr>
          </w:p>
        </w:tc>
        <w:tc>
          <w:tcPr>
            <w:tcW w:w="705" w:type="pct"/>
            <w:tcBorders>
              <w:top w:val="single" w:sz="4" w:space="0" w:color="auto"/>
              <w:left w:val="single" w:sz="4" w:space="0" w:color="auto"/>
              <w:bottom w:val="single" w:sz="4" w:space="0" w:color="auto"/>
              <w:right w:val="single" w:sz="4" w:space="0" w:color="auto"/>
            </w:tcBorders>
            <w:shd w:val="clear" w:color="auto" w:fill="E7E6E6"/>
            <w:vAlign w:val="center"/>
          </w:tcPr>
          <w:p w14:paraId="134A046A" w14:textId="77777777" w:rsidR="00B93683" w:rsidRPr="007A0722" w:rsidRDefault="00B93683" w:rsidP="00EF177F">
            <w:pPr>
              <w:spacing w:after="0" w:line="240" w:lineRule="auto"/>
              <w:ind w:firstLine="0"/>
              <w:jc w:val="center"/>
              <w:rPr>
                <w:rFonts w:ascii="Times New Roman" w:eastAsia="Calibri" w:hAnsi="Times New Roman" w:cs="Times New Roman"/>
                <w:b/>
                <w:bCs/>
                <w:sz w:val="20"/>
                <w:szCs w:val="20"/>
                <w:lang w:val="en-AU"/>
              </w:rPr>
            </w:pPr>
            <w:r w:rsidRPr="007A0722">
              <w:rPr>
                <w:rFonts w:ascii="Times New Roman" w:eastAsia="Calibri" w:hAnsi="Times New Roman" w:cs="Times New Roman"/>
                <w:sz w:val="20"/>
                <w:szCs w:val="20"/>
                <w:lang w:val="en-AU"/>
              </w:rPr>
              <w:t>Completely disagree</w:t>
            </w:r>
          </w:p>
        </w:tc>
        <w:tc>
          <w:tcPr>
            <w:tcW w:w="514" w:type="pct"/>
            <w:tcBorders>
              <w:top w:val="single" w:sz="4" w:space="0" w:color="auto"/>
              <w:left w:val="single" w:sz="4" w:space="0" w:color="auto"/>
              <w:bottom w:val="single" w:sz="4" w:space="0" w:color="auto"/>
              <w:right w:val="single" w:sz="4" w:space="0" w:color="auto"/>
            </w:tcBorders>
            <w:shd w:val="clear" w:color="auto" w:fill="E7E6E6"/>
            <w:vAlign w:val="center"/>
          </w:tcPr>
          <w:p w14:paraId="199821F7" w14:textId="77777777" w:rsidR="00B93683" w:rsidRPr="007A0722" w:rsidRDefault="00B93683" w:rsidP="00EF177F">
            <w:pPr>
              <w:spacing w:after="0" w:line="240" w:lineRule="auto"/>
              <w:ind w:firstLine="0"/>
              <w:jc w:val="center"/>
              <w:rPr>
                <w:rFonts w:ascii="Times New Roman" w:eastAsia="Calibri" w:hAnsi="Times New Roman" w:cs="Times New Roman"/>
                <w:b/>
                <w:bCs/>
                <w:sz w:val="20"/>
                <w:szCs w:val="20"/>
                <w:lang w:val="en-AU"/>
              </w:rPr>
            </w:pPr>
            <w:r w:rsidRPr="007A0722">
              <w:rPr>
                <w:rFonts w:ascii="Times New Roman" w:eastAsia="Calibri" w:hAnsi="Times New Roman" w:cs="Times New Roman"/>
                <w:sz w:val="20"/>
                <w:szCs w:val="20"/>
                <w:lang w:val="en-AU"/>
              </w:rPr>
              <w:t>Disagree</w:t>
            </w:r>
          </w:p>
        </w:tc>
        <w:tc>
          <w:tcPr>
            <w:tcW w:w="627" w:type="pct"/>
            <w:tcBorders>
              <w:top w:val="single" w:sz="4" w:space="0" w:color="auto"/>
              <w:left w:val="single" w:sz="4" w:space="0" w:color="auto"/>
              <w:bottom w:val="single" w:sz="4" w:space="0" w:color="auto"/>
              <w:right w:val="single" w:sz="4" w:space="0" w:color="auto"/>
            </w:tcBorders>
            <w:shd w:val="clear" w:color="auto" w:fill="E7E6E6"/>
            <w:vAlign w:val="center"/>
          </w:tcPr>
          <w:p w14:paraId="7C5BB0D5" w14:textId="77777777" w:rsidR="00B93683" w:rsidRPr="007A0722" w:rsidRDefault="00B93683" w:rsidP="00EF177F">
            <w:pPr>
              <w:spacing w:after="0" w:line="240" w:lineRule="auto"/>
              <w:ind w:firstLine="0"/>
              <w:jc w:val="center"/>
              <w:rPr>
                <w:rFonts w:ascii="Times New Roman" w:eastAsia="Calibri" w:hAnsi="Times New Roman" w:cs="Times New Roman"/>
                <w:b/>
                <w:bCs/>
                <w:sz w:val="20"/>
                <w:szCs w:val="20"/>
                <w:lang w:val="en-AU"/>
              </w:rPr>
            </w:pPr>
            <w:r w:rsidRPr="007A0722">
              <w:rPr>
                <w:rFonts w:ascii="Times New Roman" w:eastAsia="Calibri" w:hAnsi="Times New Roman" w:cs="Times New Roman"/>
                <w:sz w:val="20"/>
                <w:szCs w:val="20"/>
                <w:lang w:val="en-AU"/>
              </w:rPr>
              <w:t>Neither agree nor disagree</w:t>
            </w:r>
          </w:p>
        </w:tc>
        <w:tc>
          <w:tcPr>
            <w:tcW w:w="448" w:type="pct"/>
            <w:tcBorders>
              <w:top w:val="single" w:sz="4" w:space="0" w:color="auto"/>
              <w:left w:val="single" w:sz="4" w:space="0" w:color="auto"/>
              <w:bottom w:val="single" w:sz="4" w:space="0" w:color="auto"/>
              <w:right w:val="single" w:sz="4" w:space="0" w:color="auto"/>
            </w:tcBorders>
            <w:shd w:val="clear" w:color="auto" w:fill="E7E6E6"/>
            <w:vAlign w:val="center"/>
          </w:tcPr>
          <w:p w14:paraId="649BCCBE" w14:textId="77777777" w:rsidR="00B93683" w:rsidRPr="007A0722" w:rsidRDefault="00B93683" w:rsidP="00EF177F">
            <w:pPr>
              <w:spacing w:after="0" w:line="240" w:lineRule="auto"/>
              <w:ind w:firstLine="0"/>
              <w:jc w:val="center"/>
              <w:rPr>
                <w:rFonts w:ascii="Times New Roman" w:eastAsia="Calibri" w:hAnsi="Times New Roman" w:cs="Times New Roman"/>
                <w:b/>
                <w:bCs/>
                <w:sz w:val="20"/>
                <w:szCs w:val="20"/>
                <w:lang w:val="en-AU"/>
              </w:rPr>
            </w:pPr>
            <w:r w:rsidRPr="007A0722">
              <w:rPr>
                <w:rFonts w:ascii="Times New Roman" w:eastAsia="Calibri" w:hAnsi="Times New Roman" w:cs="Times New Roman"/>
                <w:sz w:val="20"/>
                <w:szCs w:val="20"/>
                <w:lang w:val="en-AU"/>
              </w:rPr>
              <w:t>Agree</w:t>
            </w:r>
          </w:p>
        </w:tc>
        <w:tc>
          <w:tcPr>
            <w:tcW w:w="685" w:type="pct"/>
            <w:tcBorders>
              <w:top w:val="single" w:sz="4" w:space="0" w:color="auto"/>
              <w:left w:val="single" w:sz="4" w:space="0" w:color="auto"/>
              <w:bottom w:val="single" w:sz="4" w:space="0" w:color="auto"/>
              <w:right w:val="single" w:sz="4" w:space="0" w:color="auto"/>
            </w:tcBorders>
            <w:shd w:val="clear" w:color="auto" w:fill="E7E6E6"/>
            <w:vAlign w:val="center"/>
          </w:tcPr>
          <w:p w14:paraId="480A8E7B" w14:textId="77777777" w:rsidR="00B93683" w:rsidRPr="007A0722" w:rsidRDefault="00B93683" w:rsidP="00EF177F">
            <w:pPr>
              <w:spacing w:after="0" w:line="240" w:lineRule="auto"/>
              <w:ind w:firstLine="0"/>
              <w:jc w:val="center"/>
              <w:rPr>
                <w:rFonts w:ascii="Times New Roman" w:eastAsia="Calibri" w:hAnsi="Times New Roman" w:cs="Times New Roman"/>
                <w:b/>
                <w:bCs/>
                <w:sz w:val="20"/>
                <w:szCs w:val="20"/>
                <w:lang w:val="en-AU"/>
              </w:rPr>
            </w:pPr>
            <w:r w:rsidRPr="007A0722">
              <w:rPr>
                <w:rFonts w:ascii="Times New Roman" w:eastAsia="Calibri" w:hAnsi="Times New Roman" w:cs="Times New Roman"/>
                <w:sz w:val="20"/>
                <w:szCs w:val="20"/>
                <w:lang w:val="en-AU"/>
              </w:rPr>
              <w:t>Completely agree</w:t>
            </w:r>
          </w:p>
        </w:tc>
      </w:tr>
      <w:tr w:rsidR="00B93683" w:rsidRPr="007A0722" w14:paraId="10F1437D" w14:textId="77777777" w:rsidTr="00EF177F">
        <w:trPr>
          <w:trHeight w:val="283"/>
        </w:trPr>
        <w:tc>
          <w:tcPr>
            <w:tcW w:w="5000" w:type="pct"/>
            <w:gridSpan w:val="7"/>
            <w:tcBorders>
              <w:top w:val="single" w:sz="4" w:space="0" w:color="auto"/>
              <w:left w:val="single" w:sz="4" w:space="0" w:color="auto"/>
              <w:bottom w:val="single" w:sz="4" w:space="0" w:color="auto"/>
              <w:right w:val="single" w:sz="4" w:space="0" w:color="auto"/>
            </w:tcBorders>
          </w:tcPr>
          <w:p w14:paraId="69D44F40" w14:textId="77777777" w:rsidR="00B93683" w:rsidRPr="007A0722" w:rsidRDefault="00B93683" w:rsidP="00EF177F">
            <w:pPr>
              <w:spacing w:after="0" w:line="240" w:lineRule="auto"/>
              <w:ind w:firstLine="0"/>
              <w:rPr>
                <w:rFonts w:ascii="Times New Roman" w:eastAsia="Calibri" w:hAnsi="Times New Roman" w:cs="Times New Roman"/>
                <w:b/>
                <w:bCs/>
                <w:sz w:val="20"/>
                <w:szCs w:val="20"/>
                <w:lang w:val="en-AU"/>
              </w:rPr>
            </w:pPr>
            <w:r w:rsidRPr="007A0722">
              <w:rPr>
                <w:rFonts w:ascii="Times New Roman" w:eastAsia="Calibri" w:hAnsi="Times New Roman" w:cs="Times New Roman"/>
                <w:b/>
                <w:bCs/>
                <w:sz w:val="20"/>
                <w:szCs w:val="20"/>
                <w:lang w:val="en-AU"/>
              </w:rPr>
              <w:t xml:space="preserve">Acceptability </w:t>
            </w:r>
          </w:p>
        </w:tc>
      </w:tr>
      <w:tr w:rsidR="00B93683" w:rsidRPr="007A0722" w14:paraId="413107A5"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12B6C1D8"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08372E20"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Caterpillar Creek meets my approval</w:t>
            </w:r>
          </w:p>
        </w:tc>
        <w:tc>
          <w:tcPr>
            <w:tcW w:w="705" w:type="pct"/>
            <w:tcBorders>
              <w:top w:val="single" w:sz="4" w:space="0" w:color="auto"/>
              <w:left w:val="single" w:sz="4" w:space="0" w:color="auto"/>
              <w:bottom w:val="single" w:sz="4" w:space="0" w:color="auto"/>
              <w:right w:val="single" w:sz="4" w:space="0" w:color="auto"/>
            </w:tcBorders>
            <w:vAlign w:val="center"/>
          </w:tcPr>
          <w:p w14:paraId="47F12D02"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0A588617"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011CC41A"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79BBF3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3D034313"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0C4B62C9"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10FF1352"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2494E41E"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Caterpillar Creek is appealing to me </w:t>
            </w:r>
          </w:p>
        </w:tc>
        <w:tc>
          <w:tcPr>
            <w:tcW w:w="705" w:type="pct"/>
            <w:tcBorders>
              <w:top w:val="single" w:sz="4" w:space="0" w:color="auto"/>
              <w:left w:val="single" w:sz="4" w:space="0" w:color="auto"/>
              <w:bottom w:val="single" w:sz="4" w:space="0" w:color="auto"/>
              <w:right w:val="single" w:sz="4" w:space="0" w:color="auto"/>
            </w:tcBorders>
            <w:vAlign w:val="center"/>
          </w:tcPr>
          <w:p w14:paraId="7F0016A1"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171267C"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CDE3099"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62FB375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5A871C09"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60353120"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43196082"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F982A80"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I would let my students use Caterpillar Creek again</w:t>
            </w:r>
          </w:p>
        </w:tc>
        <w:tc>
          <w:tcPr>
            <w:tcW w:w="705" w:type="pct"/>
            <w:tcBorders>
              <w:top w:val="single" w:sz="4" w:space="0" w:color="auto"/>
              <w:left w:val="single" w:sz="4" w:space="0" w:color="auto"/>
              <w:bottom w:val="single" w:sz="4" w:space="0" w:color="auto"/>
              <w:right w:val="single" w:sz="4" w:space="0" w:color="auto"/>
            </w:tcBorders>
            <w:vAlign w:val="center"/>
          </w:tcPr>
          <w:p w14:paraId="4BA3511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536A71A3"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3596605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64FAD98C"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0678B7F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78D86C5E"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73AA88A4"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7048EA9F"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Caterpillar Creek was appropriate for Grade 1 and Grade 2 students</w:t>
            </w:r>
          </w:p>
        </w:tc>
        <w:tc>
          <w:tcPr>
            <w:tcW w:w="705" w:type="pct"/>
            <w:tcBorders>
              <w:top w:val="single" w:sz="4" w:space="0" w:color="auto"/>
              <w:left w:val="single" w:sz="4" w:space="0" w:color="auto"/>
              <w:bottom w:val="single" w:sz="4" w:space="0" w:color="auto"/>
              <w:right w:val="single" w:sz="4" w:space="0" w:color="auto"/>
            </w:tcBorders>
            <w:vAlign w:val="center"/>
          </w:tcPr>
          <w:p w14:paraId="385DB71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7E45EBC2"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5B725BB9"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D35B7ED"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20DDD24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63B865A5"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21C2410B"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446163E"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Students found Caterpillar Creek engaging </w:t>
            </w:r>
          </w:p>
        </w:tc>
        <w:tc>
          <w:tcPr>
            <w:tcW w:w="705" w:type="pct"/>
            <w:tcBorders>
              <w:top w:val="single" w:sz="4" w:space="0" w:color="auto"/>
              <w:left w:val="single" w:sz="4" w:space="0" w:color="auto"/>
              <w:bottom w:val="single" w:sz="4" w:space="0" w:color="auto"/>
              <w:right w:val="single" w:sz="4" w:space="0" w:color="auto"/>
            </w:tcBorders>
            <w:vAlign w:val="center"/>
          </w:tcPr>
          <w:p w14:paraId="7FD01AC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6DA0C884"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4C396A03"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51A4CAE2"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3A08191E"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04234E20"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34204B4D"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55F59313"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Caterpillar Creek had a positive impact on our Class</w:t>
            </w:r>
          </w:p>
        </w:tc>
        <w:tc>
          <w:tcPr>
            <w:tcW w:w="705" w:type="pct"/>
            <w:tcBorders>
              <w:top w:val="single" w:sz="4" w:space="0" w:color="auto"/>
              <w:left w:val="single" w:sz="4" w:space="0" w:color="auto"/>
              <w:bottom w:val="single" w:sz="4" w:space="0" w:color="auto"/>
              <w:right w:val="single" w:sz="4" w:space="0" w:color="auto"/>
            </w:tcBorders>
            <w:vAlign w:val="center"/>
          </w:tcPr>
          <w:p w14:paraId="49183264"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052152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8021F1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746F3F0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6AD18D3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27B98E97"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5978DEB1"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0D040791"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Calibri" w:hAnsi="Times New Roman" w:cs="Times New Roman"/>
                <w:sz w:val="20"/>
                <w:szCs w:val="20"/>
                <w:lang w:val="en-AU"/>
              </w:rPr>
              <w:t>Caterpillar Creek did not cause any adverse side effects (e.g., headaches, eye strain, dizziness)</w:t>
            </w:r>
          </w:p>
        </w:tc>
        <w:tc>
          <w:tcPr>
            <w:tcW w:w="705" w:type="pct"/>
            <w:tcBorders>
              <w:top w:val="single" w:sz="4" w:space="0" w:color="auto"/>
              <w:left w:val="single" w:sz="4" w:space="0" w:color="auto"/>
              <w:bottom w:val="single" w:sz="4" w:space="0" w:color="auto"/>
              <w:right w:val="single" w:sz="4" w:space="0" w:color="auto"/>
            </w:tcBorders>
            <w:vAlign w:val="center"/>
          </w:tcPr>
          <w:p w14:paraId="6EA3024A"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7E9BCF0F"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3A636E2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1385CA2D"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0EA9EB6E"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56CAE697" w14:textId="77777777" w:rsidTr="00EF177F">
        <w:trPr>
          <w:trHeight w:val="283"/>
        </w:trPr>
        <w:tc>
          <w:tcPr>
            <w:tcW w:w="5000" w:type="pct"/>
            <w:gridSpan w:val="7"/>
            <w:tcBorders>
              <w:top w:val="single" w:sz="4" w:space="0" w:color="auto"/>
              <w:left w:val="single" w:sz="4" w:space="0" w:color="auto"/>
              <w:bottom w:val="single" w:sz="4" w:space="0" w:color="auto"/>
              <w:right w:val="single" w:sz="4" w:space="0" w:color="auto"/>
            </w:tcBorders>
          </w:tcPr>
          <w:p w14:paraId="149FF01B" w14:textId="77777777" w:rsidR="00B93683" w:rsidRPr="007A0722" w:rsidRDefault="00B93683" w:rsidP="00EF177F">
            <w:pPr>
              <w:spacing w:after="0" w:line="240" w:lineRule="auto"/>
              <w:ind w:firstLine="0"/>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b/>
                <w:bCs/>
                <w:sz w:val="20"/>
                <w:szCs w:val="20"/>
                <w:lang w:val="en-AU"/>
              </w:rPr>
              <w:t>Practicality</w:t>
            </w:r>
          </w:p>
        </w:tc>
      </w:tr>
      <w:tr w:rsidR="00B93683" w:rsidRPr="007A0722" w14:paraId="3AD9B8C9"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40FD2432"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4A6256DF"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Caterpillar Creek was easy to implement </w:t>
            </w:r>
          </w:p>
        </w:tc>
        <w:tc>
          <w:tcPr>
            <w:tcW w:w="705" w:type="pct"/>
            <w:tcBorders>
              <w:top w:val="single" w:sz="4" w:space="0" w:color="auto"/>
              <w:left w:val="single" w:sz="4" w:space="0" w:color="auto"/>
              <w:bottom w:val="single" w:sz="4" w:space="0" w:color="auto"/>
              <w:right w:val="single" w:sz="4" w:space="0" w:color="auto"/>
            </w:tcBorders>
            <w:vAlign w:val="center"/>
          </w:tcPr>
          <w:p w14:paraId="39AB9881"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0706717F"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1D3CC671"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3F95A47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6AD2FA5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2F0449A8"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4D92DC3F"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161845F0"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The duration of each Caterpillar Creek session (20 mins) was suitable </w:t>
            </w:r>
          </w:p>
        </w:tc>
        <w:tc>
          <w:tcPr>
            <w:tcW w:w="705" w:type="pct"/>
            <w:tcBorders>
              <w:top w:val="single" w:sz="4" w:space="0" w:color="auto"/>
              <w:left w:val="single" w:sz="4" w:space="0" w:color="auto"/>
              <w:bottom w:val="single" w:sz="4" w:space="0" w:color="auto"/>
              <w:right w:val="single" w:sz="4" w:space="0" w:color="auto"/>
            </w:tcBorders>
            <w:vAlign w:val="center"/>
          </w:tcPr>
          <w:p w14:paraId="3C3FD4FD"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77DACEB7"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039366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DE89A8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6F7D2513"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4DCFDB6E"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528A8055"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266A0F9A"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The duration of the training period (7 weeks) was suitable </w:t>
            </w:r>
          </w:p>
        </w:tc>
        <w:tc>
          <w:tcPr>
            <w:tcW w:w="705" w:type="pct"/>
            <w:tcBorders>
              <w:top w:val="single" w:sz="4" w:space="0" w:color="auto"/>
              <w:left w:val="single" w:sz="4" w:space="0" w:color="auto"/>
              <w:bottom w:val="single" w:sz="4" w:space="0" w:color="auto"/>
              <w:right w:val="single" w:sz="4" w:space="0" w:color="auto"/>
            </w:tcBorders>
            <w:vAlign w:val="center"/>
          </w:tcPr>
          <w:p w14:paraId="4DE54ECD"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710CEFBA"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1855A9EF"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2964F6F0"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2162291C"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5"/>
            </w:r>
          </w:p>
        </w:tc>
      </w:tr>
      <w:tr w:rsidR="00B93683" w:rsidRPr="007A0722" w14:paraId="0FB4598A"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3A21F702"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440DDEB8"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Students were able to successfully complete Caterpillar Creek in the classroom  </w:t>
            </w:r>
          </w:p>
        </w:tc>
        <w:tc>
          <w:tcPr>
            <w:tcW w:w="705" w:type="pct"/>
            <w:tcBorders>
              <w:top w:val="single" w:sz="4" w:space="0" w:color="auto"/>
              <w:left w:val="single" w:sz="4" w:space="0" w:color="auto"/>
              <w:bottom w:val="single" w:sz="4" w:space="0" w:color="auto"/>
              <w:right w:val="single" w:sz="4" w:space="0" w:color="auto"/>
            </w:tcBorders>
            <w:vAlign w:val="center"/>
          </w:tcPr>
          <w:p w14:paraId="63260E43"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5FDFCE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3BDB03BA"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5C2AD50E"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723C55CC"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64DDAC34"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14DBC24D"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4DB9BC2B"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Caterpillar Creek could be implemented with the schools’ current resources</w:t>
            </w:r>
          </w:p>
        </w:tc>
        <w:tc>
          <w:tcPr>
            <w:tcW w:w="705" w:type="pct"/>
            <w:tcBorders>
              <w:top w:val="single" w:sz="4" w:space="0" w:color="auto"/>
              <w:left w:val="single" w:sz="4" w:space="0" w:color="auto"/>
              <w:bottom w:val="single" w:sz="4" w:space="0" w:color="auto"/>
              <w:right w:val="single" w:sz="4" w:space="0" w:color="auto"/>
            </w:tcBorders>
            <w:vAlign w:val="center"/>
          </w:tcPr>
          <w:p w14:paraId="6974A04D"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3A368C47"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59B0659F"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5F3758D4"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6957B593"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5"/>
            </w:r>
          </w:p>
        </w:tc>
      </w:tr>
      <w:tr w:rsidR="00B93683" w:rsidRPr="007A0722" w14:paraId="70238086"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272444FF"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577B903" w14:textId="77777777" w:rsidR="00B93683" w:rsidRPr="007A0722" w:rsidRDefault="00B93683" w:rsidP="00EF177F">
            <w:pPr>
              <w:spacing w:after="0" w:line="240" w:lineRule="auto"/>
              <w:ind w:firstLine="0"/>
              <w:rPr>
                <w:rFonts w:ascii="Times New Roman" w:eastAsia="Times New Roman" w:hAnsi="Times New Roman" w:cs="Times New Roman"/>
                <w:color w:val="000000"/>
                <w:sz w:val="20"/>
                <w:szCs w:val="20"/>
                <w:lang w:val="en-AU"/>
              </w:rPr>
            </w:pPr>
            <w:r w:rsidRPr="007A0722">
              <w:rPr>
                <w:rFonts w:ascii="Times New Roman" w:eastAsia="Times New Roman" w:hAnsi="Times New Roman" w:cs="Times New Roman"/>
                <w:color w:val="000000"/>
                <w:sz w:val="20"/>
                <w:szCs w:val="20"/>
                <w:lang w:val="en-AU"/>
              </w:rPr>
              <w:t xml:space="preserve">Caterpillar Creek could be implemented with the training/information provided </w:t>
            </w:r>
          </w:p>
        </w:tc>
        <w:tc>
          <w:tcPr>
            <w:tcW w:w="705" w:type="pct"/>
            <w:tcBorders>
              <w:top w:val="single" w:sz="4" w:space="0" w:color="auto"/>
              <w:left w:val="single" w:sz="4" w:space="0" w:color="auto"/>
              <w:bottom w:val="single" w:sz="4" w:space="0" w:color="auto"/>
              <w:right w:val="single" w:sz="4" w:space="0" w:color="auto"/>
            </w:tcBorders>
            <w:vAlign w:val="center"/>
          </w:tcPr>
          <w:p w14:paraId="4D0181C7"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DDC9964"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2F572F6"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3D4814D8"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11547545" w14:textId="77777777" w:rsidR="00B93683" w:rsidRPr="007A0722" w:rsidRDefault="00B93683" w:rsidP="00EF177F">
            <w:pPr>
              <w:spacing w:after="0" w:line="240" w:lineRule="auto"/>
              <w:ind w:firstLine="0"/>
              <w:jc w:val="center"/>
              <w:rPr>
                <w:rFonts w:ascii="Times New Roman" w:eastAsia="Calibri" w:hAnsi="Times New Roman" w:cs="Times New Roman"/>
                <w:spacing w:val="52"/>
                <w:sz w:val="20"/>
                <w:szCs w:val="20"/>
                <w:lang w:val="en-AU"/>
              </w:rPr>
            </w:pPr>
            <w:r w:rsidRPr="007A0722">
              <w:rPr>
                <w:rFonts w:ascii="Times New Roman" w:eastAsia="Calibri" w:hAnsi="Times New Roman" w:cs="Times New Roman"/>
                <w:spacing w:val="52"/>
                <w:sz w:val="20"/>
                <w:szCs w:val="20"/>
                <w:lang w:val="en-AU"/>
              </w:rPr>
              <w:sym w:font="Wingdings" w:char="F085"/>
            </w:r>
          </w:p>
        </w:tc>
      </w:tr>
      <w:tr w:rsidR="00B93683" w:rsidRPr="007A0722" w14:paraId="2108EE29" w14:textId="77777777" w:rsidTr="00EF177F">
        <w:trPr>
          <w:trHeight w:val="283"/>
        </w:trPr>
        <w:tc>
          <w:tcPr>
            <w:tcW w:w="5000" w:type="pct"/>
            <w:gridSpan w:val="7"/>
            <w:tcBorders>
              <w:top w:val="single" w:sz="4" w:space="0" w:color="auto"/>
              <w:left w:val="single" w:sz="4" w:space="0" w:color="auto"/>
              <w:bottom w:val="single" w:sz="4" w:space="0" w:color="auto"/>
              <w:right w:val="single" w:sz="4" w:space="0" w:color="auto"/>
            </w:tcBorders>
          </w:tcPr>
          <w:p w14:paraId="1D06982E" w14:textId="77777777" w:rsidR="00B93683" w:rsidRPr="007A0722" w:rsidRDefault="00B93683" w:rsidP="00EF177F">
            <w:pPr>
              <w:spacing w:after="0" w:line="240" w:lineRule="auto"/>
              <w:ind w:firstLine="0"/>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b/>
                <w:bCs/>
                <w:sz w:val="20"/>
                <w:szCs w:val="20"/>
                <w:lang w:val="en-AU"/>
              </w:rPr>
              <w:t xml:space="preserve">Integration </w:t>
            </w:r>
          </w:p>
        </w:tc>
      </w:tr>
      <w:tr w:rsidR="00B93683" w:rsidRPr="007A0722" w14:paraId="2E7B84A7"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6EA55F60"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5948E6D3"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 xml:space="preserve">Caterpillar Creek could be integrated into classroom activities </w:t>
            </w:r>
          </w:p>
        </w:tc>
        <w:tc>
          <w:tcPr>
            <w:tcW w:w="705" w:type="pct"/>
            <w:tcBorders>
              <w:top w:val="single" w:sz="4" w:space="0" w:color="auto"/>
              <w:left w:val="single" w:sz="4" w:space="0" w:color="auto"/>
              <w:bottom w:val="single" w:sz="4" w:space="0" w:color="auto"/>
              <w:right w:val="single" w:sz="4" w:space="0" w:color="auto"/>
            </w:tcBorders>
            <w:vAlign w:val="center"/>
          </w:tcPr>
          <w:p w14:paraId="5CCC1DB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1D9CF95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A16E5E9"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B7EEAE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5F0719F4"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251868A6"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539CBA6E"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EA8FDE7"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 xml:space="preserve">Caterpillar Creek is aligned with the current education system </w:t>
            </w:r>
          </w:p>
        </w:tc>
        <w:tc>
          <w:tcPr>
            <w:tcW w:w="705" w:type="pct"/>
            <w:tcBorders>
              <w:top w:val="single" w:sz="4" w:space="0" w:color="auto"/>
              <w:left w:val="single" w:sz="4" w:space="0" w:color="auto"/>
              <w:bottom w:val="single" w:sz="4" w:space="0" w:color="auto"/>
              <w:right w:val="single" w:sz="4" w:space="0" w:color="auto"/>
            </w:tcBorders>
            <w:vAlign w:val="center"/>
          </w:tcPr>
          <w:p w14:paraId="74216EFE"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1ABEB94"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7B79566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78F535E9"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7222335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4B0D3CE0" w14:textId="77777777" w:rsidTr="00EF177F">
        <w:trPr>
          <w:trHeight w:val="283"/>
        </w:trPr>
        <w:tc>
          <w:tcPr>
            <w:tcW w:w="5000" w:type="pct"/>
            <w:gridSpan w:val="7"/>
            <w:tcBorders>
              <w:top w:val="single" w:sz="4" w:space="0" w:color="auto"/>
              <w:left w:val="single" w:sz="4" w:space="0" w:color="auto"/>
              <w:bottom w:val="single" w:sz="4" w:space="0" w:color="auto"/>
              <w:right w:val="single" w:sz="4" w:space="0" w:color="auto"/>
            </w:tcBorders>
          </w:tcPr>
          <w:p w14:paraId="34736C44" w14:textId="77777777" w:rsidR="00B93683" w:rsidRPr="007A0722" w:rsidRDefault="00B93683" w:rsidP="00EF177F">
            <w:pPr>
              <w:spacing w:after="0" w:line="240" w:lineRule="auto"/>
              <w:ind w:firstLine="0"/>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b/>
                <w:bCs/>
                <w:sz w:val="20"/>
                <w:szCs w:val="20"/>
                <w:lang w:val="en-AU"/>
              </w:rPr>
              <w:lastRenderedPageBreak/>
              <w:t xml:space="preserve">Adaptability </w:t>
            </w:r>
          </w:p>
        </w:tc>
      </w:tr>
      <w:tr w:rsidR="00B93683" w:rsidRPr="007A0722" w14:paraId="696C9DEC"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55E544DA"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578F331D"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 xml:space="preserve">Caterpillar Creek is flexible and accommodates diverse needs. </w:t>
            </w:r>
          </w:p>
        </w:tc>
        <w:tc>
          <w:tcPr>
            <w:tcW w:w="705" w:type="pct"/>
            <w:tcBorders>
              <w:top w:val="single" w:sz="4" w:space="0" w:color="auto"/>
              <w:left w:val="single" w:sz="4" w:space="0" w:color="auto"/>
              <w:bottom w:val="single" w:sz="4" w:space="0" w:color="auto"/>
              <w:right w:val="single" w:sz="4" w:space="0" w:color="auto"/>
            </w:tcBorders>
            <w:vAlign w:val="center"/>
          </w:tcPr>
          <w:p w14:paraId="2BA8CA29"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05604C9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5A66A0C2"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2E3207E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5065B8BA"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3DB3510E" w14:textId="77777777" w:rsidTr="00EF177F">
        <w:trPr>
          <w:trHeight w:val="283"/>
        </w:trPr>
        <w:tc>
          <w:tcPr>
            <w:tcW w:w="5000" w:type="pct"/>
            <w:gridSpan w:val="7"/>
            <w:tcBorders>
              <w:top w:val="single" w:sz="4" w:space="0" w:color="auto"/>
              <w:left w:val="single" w:sz="4" w:space="0" w:color="auto"/>
              <w:bottom w:val="single" w:sz="4" w:space="0" w:color="auto"/>
              <w:right w:val="single" w:sz="4" w:space="0" w:color="auto"/>
            </w:tcBorders>
          </w:tcPr>
          <w:p w14:paraId="06F34539" w14:textId="77777777" w:rsidR="00B93683" w:rsidRPr="007A0722" w:rsidRDefault="00B93683" w:rsidP="00EF177F">
            <w:pPr>
              <w:spacing w:after="0" w:line="240" w:lineRule="auto"/>
              <w:ind w:firstLine="0"/>
              <w:rPr>
                <w:rFonts w:ascii="Times New Roman" w:eastAsia="Calibri" w:hAnsi="Times New Roman" w:cs="Times New Roman"/>
                <w:b/>
                <w:bCs/>
                <w:sz w:val="20"/>
                <w:szCs w:val="20"/>
                <w:lang w:val="en-AU"/>
              </w:rPr>
            </w:pPr>
            <w:r w:rsidRPr="007A0722">
              <w:rPr>
                <w:rFonts w:ascii="Times New Roman" w:eastAsia="Calibri" w:hAnsi="Times New Roman" w:cs="Times New Roman"/>
                <w:b/>
                <w:bCs/>
                <w:sz w:val="20"/>
                <w:szCs w:val="20"/>
                <w:lang w:val="en-AU"/>
              </w:rPr>
              <w:t xml:space="preserve">Implementation </w:t>
            </w:r>
          </w:p>
        </w:tc>
      </w:tr>
      <w:tr w:rsidR="00B93683" w:rsidRPr="007A0722" w14:paraId="26AC613F"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23396C84"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6D04C30A"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Caterpillar Creek was successfully  implemented in the classroom.</w:t>
            </w:r>
          </w:p>
        </w:tc>
        <w:tc>
          <w:tcPr>
            <w:tcW w:w="705" w:type="pct"/>
            <w:tcBorders>
              <w:top w:val="single" w:sz="4" w:space="0" w:color="auto"/>
              <w:left w:val="single" w:sz="4" w:space="0" w:color="auto"/>
              <w:bottom w:val="single" w:sz="4" w:space="0" w:color="auto"/>
              <w:right w:val="single" w:sz="4" w:space="0" w:color="auto"/>
            </w:tcBorders>
            <w:vAlign w:val="center"/>
          </w:tcPr>
          <w:p w14:paraId="6ABB549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2FA8E55F"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7D74300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6D64219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3569609E"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61C059F6"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3E1B6B2E"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CEB8D84"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I was able to run Caterpillar Creek as intended (20 sessions over 7 weeks).</w:t>
            </w:r>
          </w:p>
        </w:tc>
        <w:tc>
          <w:tcPr>
            <w:tcW w:w="705" w:type="pct"/>
            <w:tcBorders>
              <w:top w:val="single" w:sz="4" w:space="0" w:color="auto"/>
              <w:left w:val="single" w:sz="4" w:space="0" w:color="auto"/>
              <w:bottom w:val="single" w:sz="4" w:space="0" w:color="auto"/>
              <w:right w:val="single" w:sz="4" w:space="0" w:color="auto"/>
            </w:tcBorders>
            <w:vAlign w:val="center"/>
          </w:tcPr>
          <w:p w14:paraId="33A0D792"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3C7AD4F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4F496BF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EBFA0D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288A6E9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55BF9472"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2B480F6E"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0684B95E"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 xml:space="preserve">Caterpillar Creek was easy to use. </w:t>
            </w:r>
          </w:p>
        </w:tc>
        <w:tc>
          <w:tcPr>
            <w:tcW w:w="705" w:type="pct"/>
            <w:tcBorders>
              <w:top w:val="single" w:sz="4" w:space="0" w:color="auto"/>
              <w:left w:val="single" w:sz="4" w:space="0" w:color="auto"/>
              <w:bottom w:val="single" w:sz="4" w:space="0" w:color="auto"/>
              <w:right w:val="single" w:sz="4" w:space="0" w:color="auto"/>
            </w:tcBorders>
            <w:vAlign w:val="center"/>
          </w:tcPr>
          <w:p w14:paraId="2CC80CCA"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119F595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933C5D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2396B0C"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2FCC901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3E017783"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31AEC310"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187E1B00" w14:textId="77777777" w:rsidR="00B93683" w:rsidRPr="007A0722" w:rsidRDefault="00B93683" w:rsidP="00EF177F">
            <w:pPr>
              <w:autoSpaceDE w:val="0"/>
              <w:autoSpaceDN w:val="0"/>
              <w:adjustRightInd w:val="0"/>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The teacher’s manual contained all the information I needed to implement Caterpillar Creek.</w:t>
            </w:r>
          </w:p>
        </w:tc>
        <w:tc>
          <w:tcPr>
            <w:tcW w:w="705" w:type="pct"/>
            <w:tcBorders>
              <w:top w:val="single" w:sz="4" w:space="0" w:color="auto"/>
              <w:left w:val="single" w:sz="4" w:space="0" w:color="auto"/>
              <w:bottom w:val="single" w:sz="4" w:space="0" w:color="auto"/>
              <w:right w:val="single" w:sz="4" w:space="0" w:color="auto"/>
            </w:tcBorders>
            <w:vAlign w:val="center"/>
          </w:tcPr>
          <w:p w14:paraId="38DE8ED7"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D1A9EA7"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114550A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2B32C971"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5666BA2F"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198D2BFA"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5952BFA5"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568EFBBA" w14:textId="77777777" w:rsidR="00B93683" w:rsidRPr="007A0722" w:rsidRDefault="00B93683" w:rsidP="00EF177F">
            <w:pPr>
              <w:autoSpaceDE w:val="0"/>
              <w:autoSpaceDN w:val="0"/>
              <w:adjustRightInd w:val="0"/>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 xml:space="preserve">The commitment required by me was realistic. </w:t>
            </w:r>
          </w:p>
        </w:tc>
        <w:tc>
          <w:tcPr>
            <w:tcW w:w="705" w:type="pct"/>
            <w:tcBorders>
              <w:top w:val="single" w:sz="4" w:space="0" w:color="auto"/>
              <w:left w:val="single" w:sz="4" w:space="0" w:color="auto"/>
              <w:bottom w:val="single" w:sz="4" w:space="0" w:color="auto"/>
              <w:right w:val="single" w:sz="4" w:space="0" w:color="auto"/>
            </w:tcBorders>
            <w:vAlign w:val="center"/>
          </w:tcPr>
          <w:p w14:paraId="465BDFCB"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DA544B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5848FAE3"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02CDC656"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2B3E8BFD"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4D1A6F29" w14:textId="77777777" w:rsidTr="00EF177F">
        <w:trPr>
          <w:trHeight w:val="283"/>
        </w:trPr>
        <w:tc>
          <w:tcPr>
            <w:tcW w:w="5000" w:type="pct"/>
            <w:gridSpan w:val="7"/>
            <w:tcBorders>
              <w:top w:val="single" w:sz="4" w:space="0" w:color="auto"/>
              <w:left w:val="single" w:sz="4" w:space="0" w:color="auto"/>
              <w:bottom w:val="single" w:sz="4" w:space="0" w:color="auto"/>
              <w:right w:val="single" w:sz="4" w:space="0" w:color="auto"/>
            </w:tcBorders>
          </w:tcPr>
          <w:p w14:paraId="57DCCFBD" w14:textId="77777777" w:rsidR="00B93683" w:rsidRPr="007A0722" w:rsidRDefault="00B93683" w:rsidP="00EF177F">
            <w:pPr>
              <w:spacing w:after="0" w:line="240" w:lineRule="auto"/>
              <w:ind w:firstLine="0"/>
              <w:rPr>
                <w:rFonts w:ascii="Times New Roman" w:eastAsia="Calibri" w:hAnsi="Times New Roman" w:cs="Times New Roman"/>
                <w:b/>
                <w:bCs/>
                <w:sz w:val="20"/>
                <w:szCs w:val="20"/>
                <w:lang w:val="en-AU"/>
              </w:rPr>
            </w:pPr>
            <w:r w:rsidRPr="007A0722">
              <w:rPr>
                <w:rFonts w:ascii="Times New Roman" w:eastAsia="Calibri" w:hAnsi="Times New Roman" w:cs="Times New Roman"/>
                <w:b/>
                <w:bCs/>
                <w:sz w:val="20"/>
                <w:szCs w:val="20"/>
                <w:lang w:val="en-AU"/>
              </w:rPr>
              <w:t>Effectiveness</w:t>
            </w:r>
          </w:p>
        </w:tc>
      </w:tr>
      <w:tr w:rsidR="00B93683" w:rsidRPr="007A0722" w14:paraId="438C6FAC"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0A274825"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20077B86"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Calibri" w:hAnsi="Times New Roman" w:cs="Times New Roman"/>
                <w:sz w:val="20"/>
                <w:szCs w:val="20"/>
                <w:lang w:val="en-AU"/>
              </w:rPr>
              <w:t xml:space="preserve">Caterpillar Creek had a positive effect on students </w:t>
            </w:r>
          </w:p>
        </w:tc>
        <w:tc>
          <w:tcPr>
            <w:tcW w:w="705" w:type="pct"/>
            <w:tcBorders>
              <w:top w:val="single" w:sz="4" w:space="0" w:color="auto"/>
              <w:left w:val="single" w:sz="4" w:space="0" w:color="auto"/>
              <w:bottom w:val="single" w:sz="4" w:space="0" w:color="auto"/>
              <w:right w:val="single" w:sz="4" w:space="0" w:color="auto"/>
            </w:tcBorders>
            <w:vAlign w:val="center"/>
          </w:tcPr>
          <w:p w14:paraId="5A1A937A"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48989A51"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2164FDF4"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3A6F3C07"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585EAFD5"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shd w:val="clear" w:color="auto" w:fill="FFFFFF"/>
                <w:lang w:val="en-US"/>
              </w:rPr>
            </w:pPr>
            <w:r w:rsidRPr="007A0722">
              <w:rPr>
                <w:rFonts w:ascii="Times New Roman" w:eastAsia="Calibri" w:hAnsi="Times New Roman" w:cs="Times New Roman"/>
                <w:spacing w:val="52"/>
                <w:sz w:val="20"/>
                <w:szCs w:val="20"/>
                <w:lang w:val="en-AU"/>
              </w:rPr>
              <w:sym w:font="Wingdings" w:char="F085"/>
            </w:r>
          </w:p>
        </w:tc>
      </w:tr>
      <w:tr w:rsidR="00B93683" w:rsidRPr="007A0722" w14:paraId="2196FC2E"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7DA4E588" w14:textId="77777777" w:rsidR="00B93683" w:rsidRPr="007A0722" w:rsidRDefault="00B93683" w:rsidP="00B93683">
            <w:pPr>
              <w:numPr>
                <w:ilvl w:val="0"/>
                <w:numId w:val="1"/>
              </w:numPr>
              <w:spacing w:after="0" w:line="240"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A06A09F"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Times New Roman" w:hAnsi="Times New Roman" w:cs="Times New Roman"/>
                <w:color w:val="000000"/>
                <w:sz w:val="20"/>
                <w:szCs w:val="20"/>
                <w:lang w:val="en-AU"/>
              </w:rPr>
              <w:t xml:space="preserve">Caterpillar Creek improved students’ inhibitory control (e.g., impulsivity) </w:t>
            </w:r>
          </w:p>
        </w:tc>
        <w:tc>
          <w:tcPr>
            <w:tcW w:w="705" w:type="pct"/>
            <w:tcBorders>
              <w:top w:val="single" w:sz="4" w:space="0" w:color="auto"/>
              <w:left w:val="single" w:sz="4" w:space="0" w:color="auto"/>
              <w:bottom w:val="single" w:sz="4" w:space="0" w:color="auto"/>
              <w:right w:val="single" w:sz="4" w:space="0" w:color="auto"/>
            </w:tcBorders>
            <w:vAlign w:val="center"/>
          </w:tcPr>
          <w:p w14:paraId="2B4CC450"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3B13EEA7"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06B76259"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4444B677"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1B18CDAC"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5"/>
            </w:r>
          </w:p>
        </w:tc>
      </w:tr>
      <w:tr w:rsidR="00B93683" w:rsidRPr="007A0722" w14:paraId="61218A57"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38552922" w14:textId="77777777" w:rsidR="00B93683" w:rsidRPr="007A0722" w:rsidRDefault="00B93683" w:rsidP="00B93683">
            <w:pPr>
              <w:numPr>
                <w:ilvl w:val="0"/>
                <w:numId w:val="1"/>
              </w:numPr>
              <w:spacing w:after="0" w:line="259"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3617CE93"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Times New Roman" w:hAnsi="Times New Roman" w:cs="Times New Roman"/>
                <w:color w:val="000000"/>
                <w:sz w:val="20"/>
                <w:szCs w:val="20"/>
                <w:lang w:val="en-AU"/>
              </w:rPr>
              <w:t>Caterpillar Creek improved students’ working memory (e.g., remembering)</w:t>
            </w:r>
          </w:p>
        </w:tc>
        <w:tc>
          <w:tcPr>
            <w:tcW w:w="705" w:type="pct"/>
            <w:tcBorders>
              <w:top w:val="single" w:sz="4" w:space="0" w:color="auto"/>
              <w:left w:val="single" w:sz="4" w:space="0" w:color="auto"/>
              <w:bottom w:val="single" w:sz="4" w:space="0" w:color="auto"/>
              <w:right w:val="single" w:sz="4" w:space="0" w:color="auto"/>
            </w:tcBorders>
            <w:vAlign w:val="center"/>
          </w:tcPr>
          <w:p w14:paraId="4A5CB35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61591DEB"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32DDB03D"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7DBEF544"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21D41B21"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5"/>
            </w:r>
          </w:p>
        </w:tc>
      </w:tr>
      <w:tr w:rsidR="00B93683" w:rsidRPr="007A0722" w14:paraId="6EAE883A" w14:textId="77777777" w:rsidTr="00EF177F">
        <w:trPr>
          <w:trHeight w:val="743"/>
        </w:trPr>
        <w:tc>
          <w:tcPr>
            <w:tcW w:w="233" w:type="pct"/>
            <w:tcBorders>
              <w:top w:val="single" w:sz="4" w:space="0" w:color="auto"/>
              <w:left w:val="single" w:sz="4" w:space="0" w:color="auto"/>
              <w:bottom w:val="single" w:sz="4" w:space="0" w:color="auto"/>
              <w:right w:val="single" w:sz="4" w:space="0" w:color="auto"/>
            </w:tcBorders>
          </w:tcPr>
          <w:p w14:paraId="5EC52523" w14:textId="77777777" w:rsidR="00B93683" w:rsidRPr="007A0722" w:rsidRDefault="00B93683" w:rsidP="00B93683">
            <w:pPr>
              <w:numPr>
                <w:ilvl w:val="0"/>
                <w:numId w:val="1"/>
              </w:numPr>
              <w:spacing w:after="0" w:line="259" w:lineRule="auto"/>
              <w:ind w:left="0" w:firstLine="0"/>
              <w:contextualSpacing/>
              <w:rPr>
                <w:rFonts w:ascii="Times New Roman" w:eastAsia="Times New Roman" w:hAnsi="Times New Roman" w:cs="Times New Roman"/>
                <w:sz w:val="20"/>
                <w:szCs w:val="20"/>
                <w:lang w:val="en-AU" w:eastAsia="zh-CN"/>
              </w:rPr>
            </w:pPr>
          </w:p>
        </w:tc>
        <w:tc>
          <w:tcPr>
            <w:tcW w:w="1788" w:type="pct"/>
            <w:tcBorders>
              <w:top w:val="single" w:sz="4" w:space="0" w:color="auto"/>
              <w:left w:val="single" w:sz="4" w:space="0" w:color="auto"/>
              <w:bottom w:val="single" w:sz="4" w:space="0" w:color="auto"/>
              <w:right w:val="single" w:sz="4" w:space="0" w:color="auto"/>
            </w:tcBorders>
            <w:shd w:val="clear" w:color="auto" w:fill="auto"/>
          </w:tcPr>
          <w:p w14:paraId="4C2EA161" w14:textId="77777777" w:rsidR="00B93683" w:rsidRPr="007A0722" w:rsidRDefault="00B93683" w:rsidP="00EF177F">
            <w:pPr>
              <w:spacing w:after="0" w:line="240" w:lineRule="auto"/>
              <w:ind w:firstLine="0"/>
              <w:rPr>
                <w:rFonts w:ascii="Times New Roman" w:eastAsia="Calibri" w:hAnsi="Times New Roman" w:cs="Times New Roman"/>
                <w:sz w:val="20"/>
                <w:szCs w:val="20"/>
                <w:lang w:val="en-AU"/>
              </w:rPr>
            </w:pPr>
            <w:r w:rsidRPr="007A0722">
              <w:rPr>
                <w:rFonts w:ascii="Times New Roman" w:eastAsia="Times New Roman" w:hAnsi="Times New Roman" w:cs="Times New Roman"/>
                <w:color w:val="000000"/>
                <w:sz w:val="20"/>
                <w:szCs w:val="20"/>
                <w:lang w:val="en-AU"/>
              </w:rPr>
              <w:t>Caterpillar Creek improved students’ cognitive flexibility (e.g., switching between tasks)</w:t>
            </w:r>
          </w:p>
        </w:tc>
        <w:tc>
          <w:tcPr>
            <w:tcW w:w="705" w:type="pct"/>
            <w:tcBorders>
              <w:top w:val="single" w:sz="4" w:space="0" w:color="auto"/>
              <w:left w:val="single" w:sz="4" w:space="0" w:color="auto"/>
              <w:bottom w:val="single" w:sz="4" w:space="0" w:color="auto"/>
              <w:right w:val="single" w:sz="4" w:space="0" w:color="auto"/>
            </w:tcBorders>
            <w:vAlign w:val="center"/>
          </w:tcPr>
          <w:p w14:paraId="33F1F522"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1"/>
            </w:r>
          </w:p>
        </w:tc>
        <w:tc>
          <w:tcPr>
            <w:tcW w:w="514" w:type="pct"/>
            <w:tcBorders>
              <w:top w:val="single" w:sz="4" w:space="0" w:color="auto"/>
              <w:left w:val="single" w:sz="4" w:space="0" w:color="auto"/>
              <w:bottom w:val="single" w:sz="4" w:space="0" w:color="auto"/>
              <w:right w:val="single" w:sz="4" w:space="0" w:color="auto"/>
            </w:tcBorders>
            <w:vAlign w:val="center"/>
          </w:tcPr>
          <w:p w14:paraId="6455EC98"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2"/>
            </w:r>
          </w:p>
        </w:tc>
        <w:tc>
          <w:tcPr>
            <w:tcW w:w="627" w:type="pct"/>
            <w:tcBorders>
              <w:top w:val="single" w:sz="4" w:space="0" w:color="auto"/>
              <w:left w:val="single" w:sz="4" w:space="0" w:color="auto"/>
              <w:bottom w:val="single" w:sz="4" w:space="0" w:color="auto"/>
              <w:right w:val="single" w:sz="4" w:space="0" w:color="auto"/>
            </w:tcBorders>
            <w:vAlign w:val="center"/>
          </w:tcPr>
          <w:p w14:paraId="4F627BDA"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3"/>
            </w:r>
          </w:p>
        </w:tc>
        <w:tc>
          <w:tcPr>
            <w:tcW w:w="448" w:type="pct"/>
            <w:tcBorders>
              <w:top w:val="single" w:sz="4" w:space="0" w:color="auto"/>
              <w:left w:val="single" w:sz="4" w:space="0" w:color="auto"/>
              <w:bottom w:val="single" w:sz="4" w:space="0" w:color="auto"/>
              <w:right w:val="single" w:sz="4" w:space="0" w:color="auto"/>
            </w:tcBorders>
            <w:vAlign w:val="center"/>
          </w:tcPr>
          <w:p w14:paraId="103644F9" w14:textId="77777777" w:rsidR="00B93683" w:rsidRPr="007A0722" w:rsidRDefault="00B93683" w:rsidP="00EF177F">
            <w:pPr>
              <w:spacing w:after="0" w:line="240" w:lineRule="auto"/>
              <w:ind w:left="360" w:firstLine="0"/>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4"/>
            </w:r>
          </w:p>
        </w:tc>
        <w:tc>
          <w:tcPr>
            <w:tcW w:w="685" w:type="pct"/>
            <w:tcBorders>
              <w:top w:val="single" w:sz="4" w:space="0" w:color="auto"/>
              <w:left w:val="single" w:sz="4" w:space="0" w:color="auto"/>
              <w:bottom w:val="single" w:sz="4" w:space="0" w:color="auto"/>
              <w:right w:val="single" w:sz="4" w:space="0" w:color="auto"/>
            </w:tcBorders>
            <w:vAlign w:val="center"/>
          </w:tcPr>
          <w:p w14:paraId="0D00B1B8" w14:textId="77777777" w:rsidR="00B93683" w:rsidRPr="007A0722" w:rsidRDefault="00B93683" w:rsidP="00EF177F">
            <w:pPr>
              <w:spacing w:after="0" w:line="240" w:lineRule="auto"/>
              <w:ind w:firstLine="0"/>
              <w:jc w:val="center"/>
              <w:rPr>
                <w:rFonts w:ascii="Times New Roman" w:eastAsia="Calibri" w:hAnsi="Times New Roman" w:cs="Times New Roman"/>
                <w:sz w:val="20"/>
                <w:szCs w:val="20"/>
                <w:lang w:val="en-AU"/>
              </w:rPr>
            </w:pPr>
            <w:r w:rsidRPr="007A0722">
              <w:rPr>
                <w:rFonts w:ascii="Times New Roman" w:eastAsia="Calibri" w:hAnsi="Times New Roman" w:cs="Times New Roman"/>
                <w:spacing w:val="52"/>
                <w:sz w:val="20"/>
                <w:szCs w:val="20"/>
                <w:lang w:val="en-AU"/>
              </w:rPr>
              <w:sym w:font="Wingdings" w:char="F085"/>
            </w:r>
          </w:p>
        </w:tc>
      </w:tr>
    </w:tbl>
    <w:p w14:paraId="38AD159A" w14:textId="77777777" w:rsidR="00B93683" w:rsidRDefault="00B93683" w:rsidP="00B93683">
      <w:pPr>
        <w:spacing w:after="0"/>
        <w:ind w:firstLine="0"/>
        <w:rPr>
          <w:rFonts w:ascii="Times New Roman" w:eastAsiaTheme="majorEastAsia" w:hAnsi="Times New Roman" w:cs="Times New Roman"/>
          <w:b/>
          <w:bCs/>
          <w:iCs/>
          <w:sz w:val="20"/>
          <w:szCs w:val="20"/>
        </w:rPr>
      </w:pPr>
    </w:p>
    <w:p w14:paraId="63228A96" w14:textId="77777777" w:rsidR="00B93683" w:rsidRDefault="00B93683" w:rsidP="00B93683">
      <w:pPr>
        <w:rPr>
          <w:rFonts w:ascii="Times New Roman" w:eastAsiaTheme="majorEastAsia" w:hAnsi="Times New Roman" w:cs="Times New Roman"/>
          <w:b/>
          <w:bCs/>
          <w:iCs/>
          <w:sz w:val="20"/>
          <w:szCs w:val="20"/>
        </w:rPr>
      </w:pPr>
      <w:r>
        <w:rPr>
          <w:rFonts w:ascii="Times New Roman" w:eastAsiaTheme="majorEastAsia" w:hAnsi="Times New Roman" w:cs="Times New Roman"/>
          <w:b/>
          <w:bCs/>
          <w:iCs/>
          <w:sz w:val="20"/>
          <w:szCs w:val="20"/>
        </w:rPr>
        <w:br w:type="page"/>
      </w:r>
    </w:p>
    <w:p w14:paraId="3F2B8DEF" w14:textId="77777777" w:rsidR="00B93683" w:rsidRDefault="00B93683" w:rsidP="00B93683">
      <w:pPr>
        <w:pStyle w:val="Heading2"/>
      </w:pPr>
      <w:r w:rsidRPr="0058720E">
        <w:lastRenderedPageBreak/>
        <w:t>Phase II</w:t>
      </w:r>
      <w:r>
        <w:t>b</w:t>
      </w:r>
      <w:r w:rsidRPr="0058720E">
        <w:t>: P</w:t>
      </w:r>
      <w:r>
        <w:t xml:space="preserve">ilot </w:t>
      </w:r>
      <w:r w:rsidRPr="0058720E">
        <w:t xml:space="preserve">Trial </w:t>
      </w:r>
      <w:r>
        <w:t>| Detailed Description of Analytical Analysis</w:t>
      </w:r>
    </w:p>
    <w:p w14:paraId="04F0E3D1" w14:textId="77777777" w:rsidR="00B93683" w:rsidRPr="005B4678" w:rsidRDefault="00B93683" w:rsidP="00B93683">
      <w:r w:rsidRPr="4D0FACE8">
        <w:rPr>
          <w:rFonts w:ascii="Times New Roman" w:hAnsi="Times New Roman" w:cs="Times New Roman"/>
          <w:sz w:val="20"/>
          <w:szCs w:val="20"/>
        </w:rPr>
        <w:t xml:space="preserve">Latent change score models [89] </w:t>
      </w:r>
      <w:r>
        <w:rPr>
          <w:rFonts w:ascii="Times New Roman" w:hAnsi="Times New Roman" w:cs="Times New Roman"/>
          <w:sz w:val="20"/>
          <w:szCs w:val="20"/>
        </w:rPr>
        <w:t xml:space="preserve">were used to </w:t>
      </w:r>
      <w:r w:rsidRPr="4D0FACE8">
        <w:rPr>
          <w:rFonts w:ascii="Times New Roman" w:hAnsi="Times New Roman" w:cs="Times New Roman"/>
          <w:sz w:val="20"/>
          <w:szCs w:val="20"/>
        </w:rPr>
        <w:t>estimate within and between group variance at once as well as sequential effects of variables on each other over time</w:t>
      </w:r>
      <w:r>
        <w:rPr>
          <w:rFonts w:ascii="Times New Roman" w:hAnsi="Times New Roman" w:cs="Times New Roman"/>
          <w:sz w:val="20"/>
          <w:szCs w:val="20"/>
        </w:rPr>
        <w:t xml:space="preserve"> and an </w:t>
      </w:r>
      <w:r w:rsidRPr="4D0FACE8">
        <w:rPr>
          <w:rFonts w:ascii="Times New Roman" w:hAnsi="Times New Roman" w:cs="Times New Roman"/>
          <w:sz w:val="20"/>
          <w:szCs w:val="20"/>
        </w:rPr>
        <w:t xml:space="preserve">unobserved latent change </w:t>
      </w:r>
      <w:r>
        <w:rPr>
          <w:rFonts w:ascii="Times New Roman" w:hAnsi="Times New Roman" w:cs="Times New Roman"/>
          <w:sz w:val="20"/>
          <w:szCs w:val="20"/>
        </w:rPr>
        <w:t>score</w:t>
      </w:r>
      <w:r>
        <w:t xml:space="preserve">. </w:t>
      </w:r>
      <w:r>
        <w:rPr>
          <w:rFonts w:ascii="Times New Roman" w:hAnsi="Times New Roman" w:cs="Times New Roman"/>
          <w:sz w:val="20"/>
          <w:szCs w:val="20"/>
        </w:rPr>
        <w:t>A</w:t>
      </w:r>
      <w:r w:rsidRPr="4D0FACE8">
        <w:rPr>
          <w:rFonts w:ascii="Times New Roman" w:hAnsi="Times New Roman" w:cs="Times New Roman"/>
          <w:sz w:val="20"/>
          <w:szCs w:val="20"/>
        </w:rPr>
        <w:t>s per McArdle and Prindle [</w:t>
      </w:r>
      <w:r>
        <w:rPr>
          <w:rFonts w:ascii="Times New Roman" w:hAnsi="Times New Roman" w:cs="Times New Roman"/>
          <w:sz w:val="20"/>
          <w:szCs w:val="20"/>
        </w:rPr>
        <w:t>90</w:t>
      </w:r>
      <w:r w:rsidRPr="4D0FACE8">
        <w:rPr>
          <w:rFonts w:ascii="Times New Roman" w:hAnsi="Times New Roman" w:cs="Times New Roman"/>
          <w:sz w:val="20"/>
          <w:szCs w:val="20"/>
        </w:rPr>
        <w:t xml:space="preserve">], separate analyses </w:t>
      </w:r>
      <w:r>
        <w:rPr>
          <w:rFonts w:ascii="Times New Roman" w:hAnsi="Times New Roman" w:cs="Times New Roman"/>
          <w:sz w:val="20"/>
          <w:szCs w:val="20"/>
        </w:rPr>
        <w:t>we</w:t>
      </w:r>
      <w:r w:rsidRPr="4D0FACE8">
        <w:rPr>
          <w:rFonts w:ascii="Times New Roman" w:hAnsi="Times New Roman" w:cs="Times New Roman"/>
          <w:sz w:val="20"/>
          <w:szCs w:val="20"/>
        </w:rPr>
        <w:t>re conducted to compare pre-</w:t>
      </w:r>
      <w:r>
        <w:rPr>
          <w:rFonts w:ascii="Times New Roman" w:hAnsi="Times New Roman" w:cs="Times New Roman"/>
          <w:sz w:val="20"/>
          <w:szCs w:val="20"/>
        </w:rPr>
        <w:t>intervention</w:t>
      </w:r>
      <w:r w:rsidRPr="4D0FACE8">
        <w:rPr>
          <w:rFonts w:ascii="Times New Roman" w:hAnsi="Times New Roman" w:cs="Times New Roman"/>
          <w:sz w:val="20"/>
          <w:szCs w:val="20"/>
        </w:rPr>
        <w:t xml:space="preserve"> to post-</w:t>
      </w:r>
      <w:r>
        <w:rPr>
          <w:rFonts w:ascii="Times New Roman" w:hAnsi="Times New Roman" w:cs="Times New Roman"/>
          <w:sz w:val="20"/>
          <w:szCs w:val="20"/>
        </w:rPr>
        <w:t>intervention</w:t>
      </w:r>
      <w:r w:rsidRPr="4D0FACE8">
        <w:rPr>
          <w:rFonts w:ascii="Times New Roman" w:hAnsi="Times New Roman" w:cs="Times New Roman"/>
          <w:sz w:val="20"/>
          <w:szCs w:val="20"/>
        </w:rPr>
        <w:t xml:space="preserve"> outcomes, and then pre-</w:t>
      </w:r>
      <w:r>
        <w:rPr>
          <w:rFonts w:ascii="Times New Roman" w:hAnsi="Times New Roman" w:cs="Times New Roman"/>
          <w:sz w:val="20"/>
          <w:szCs w:val="20"/>
        </w:rPr>
        <w:t>intervention</w:t>
      </w:r>
      <w:r w:rsidRPr="4D0FACE8">
        <w:rPr>
          <w:rFonts w:ascii="Times New Roman" w:hAnsi="Times New Roman" w:cs="Times New Roman"/>
          <w:sz w:val="20"/>
          <w:szCs w:val="20"/>
        </w:rPr>
        <w:t xml:space="preserve"> to follow-up (FU) outcomes. </w:t>
      </w:r>
      <w:r>
        <w:rPr>
          <w:rFonts w:ascii="Times New Roman" w:hAnsi="Times New Roman" w:cs="Times New Roman"/>
          <w:sz w:val="20"/>
          <w:szCs w:val="20"/>
        </w:rPr>
        <w:t>S</w:t>
      </w:r>
      <w:r w:rsidRPr="4D0FACE8">
        <w:rPr>
          <w:rFonts w:ascii="Times New Roman" w:hAnsi="Times New Roman" w:cs="Times New Roman"/>
          <w:sz w:val="20"/>
          <w:szCs w:val="20"/>
        </w:rPr>
        <w:t xml:space="preserve">eparate comparisons were conducted for each </w:t>
      </w:r>
      <w:r>
        <w:rPr>
          <w:rFonts w:ascii="Times New Roman" w:hAnsi="Times New Roman" w:cs="Times New Roman"/>
          <w:sz w:val="20"/>
          <w:szCs w:val="20"/>
        </w:rPr>
        <w:t xml:space="preserve">executive functioning domain (inhibitory control, working memory and cognitive flexibility) resulting in three sets of model comparisons (see Tables 5 to 7). </w:t>
      </w:r>
      <w:r>
        <w:rPr>
          <w:rFonts w:ascii="Times New Roman" w:eastAsia="Times New Roman" w:hAnsi="Times New Roman" w:cs="Times New Roman"/>
          <w:sz w:val="20"/>
          <w:szCs w:val="20"/>
        </w:rPr>
        <w:t xml:space="preserve">As </w:t>
      </w:r>
      <w:r w:rsidRPr="00C4187D">
        <w:rPr>
          <w:rFonts w:ascii="Times New Roman" w:eastAsia="Times New Roman" w:hAnsi="Times New Roman" w:cs="Times New Roman"/>
          <w:sz w:val="20"/>
          <w:szCs w:val="20"/>
        </w:rPr>
        <w:t>Bayesian model comparison was utilised</w:t>
      </w:r>
      <w:r>
        <w:rPr>
          <w:rFonts w:ascii="Times New Roman" w:eastAsia="Times New Roman" w:hAnsi="Times New Roman" w:cs="Times New Roman"/>
          <w:sz w:val="20"/>
          <w:szCs w:val="20"/>
        </w:rPr>
        <w:t xml:space="preserve"> </w:t>
      </w:r>
      <w:r w:rsidRPr="00C4187D">
        <w:rPr>
          <w:rFonts w:ascii="Times New Roman" w:eastAsia="Times New Roman" w:hAnsi="Times New Roman" w:cs="Times New Roman"/>
          <w:sz w:val="20"/>
          <w:szCs w:val="20"/>
        </w:rPr>
        <w:t xml:space="preserve">credible intervals </w:t>
      </w:r>
      <w:r>
        <w:rPr>
          <w:rFonts w:ascii="Times New Roman" w:eastAsia="Times New Roman" w:hAnsi="Times New Roman" w:cs="Times New Roman"/>
          <w:sz w:val="20"/>
          <w:szCs w:val="20"/>
        </w:rPr>
        <w:t>(99%) are used rather than p-values</w:t>
      </w:r>
      <w:r w:rsidRPr="00C4187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fldChar w:fldCharType="begin">
          <w:fldData xml:space="preserve">PEVuZE5vdGU+PENpdGU+PEF1dGhvcj5IZXNwYW5ob2w8L0F1dGhvcj48WWVhcj4yMDE5PC9ZZWFy
PjxSZWNOdW0+MTMwNzwvUmVjTnVtPjxEaXNwbGF5VGV4dD5bMTAwXTwvRGlzcGxheVRleHQ+PHJl
Y29yZD48cmVjLW51bWJlcj4xMzA3PC9yZWMtbnVtYmVyPjxmb3JlaWduLWtleXM+PGtleSBhcHA9
IkVOIiBkYi1pZD0ieDJ2dnQ1dDI1ZHpycjJleDBma3ZycjJoYWVkZXZzOXN6OWQyIiB0aW1lc3Rh
bXA9IjE3MDIxNjY3MzIiPjEzMDc8L2tleT48L2ZvcmVpZ24ta2V5cz48cmVmLXR5cGUgbmFtZT0i
Sm91cm5hbCBBcnRpY2xlIj4xNzwvcmVmLXR5cGU+PGNvbnRyaWJ1dG9ycz48YXV0aG9ycz48YXV0
aG9yPkhlc3BhbmhvbCwgTC48L2F1dGhvcj48YXV0aG9yPlZhbGxpbywgQy4gUy48L2F1dGhvcj48
YXV0aG9yPkNvc3RhLCBMLiBNLjwvYXV0aG9yPjxhdXRob3I+U2FyYWdpb3R0bywgQi4gVC48L2F1
dGhvcj48L2F1dGhvcnM+PC9jb250cmlidXRvcnM+PGF1dGgtYWRkcmVzcz5NYXN0ZXJzIGFuZCBE
b2N0b3JhbCBQcm9ncmFtcyBpbiBQaHlzaWNhbCBUaGVyYXB5LCBVbml2ZXJzaWRhZGUgQ2lkYWRl
IGRlIFPDo28gUGF1bG8gKFVOSUNJRCksIFPDo28gUGF1bG8sIFNQLCBCcmF6aWw7IERlcGFydG1l
bnQgb2YgUHVibGljIGFuZCBPY2N1cGF0aW9uYWwgSGVhbHRoIChEUE9IKSwgQW1zdGVyZGFtIFB1
YmxpYyBIZWFsdGggUmVzZWFyY2ggSW5zdGl0dXRlIChBUEgpLCBWVSBVbml2ZXJzaXR5IE1lZGlj
YWwgQ2VudGVyIChWVW1jKSwgQW1zdGVyZGFtLCBUaGUgTmV0aGVybGFuZHM7IEFtc3RlcmRhbSBD
b2xsYWJvcmF0aW9uIG9uIEhlYWx0aCBhbmQgU2FmZXR5IGluIFNwb3J0cyAoQUNIU1MpLCBBY2Fk
ZW1pYyBNZWRpY2FsIENlbnRlci9WVSBVbml2ZXJzaXR5IE1lZGljYWwgQ2VudGVyIElPQyBSZXNl
YXJjaCBDZW50ZXIsIEFtc3RlcmRhbSwgVGhlIE5ldGhlcmxhbmRzLiBFbGVjdHJvbmljIGFkZHJl
c3M6IGwuaGVzcGFuaG9sQG91dGxvb2suY29tLiYjeEQ7TWFzdGVycyBhbmQgRG9jdG9yYWwgUHJv
Z3JhbXMgaW4gUGh5c2ljYWwgVGhlcmFweSwgVW5pdmVyc2lkYWRlIENpZGFkZSBkZSBTw6NvIFBh
dWxvIChVTklDSUQpLCBTw6NvIFBhdWxvLCBTUCwgQnJhemlsLjwvYXV0aC1hZGRyZXNzPjx0aXRs
ZXM+PHRpdGxlPlVuZGVyc3RhbmRpbmcgYW5kIGludGVycHJldGluZyBjb25maWRlbmNlIGFuZCBj
cmVkaWJsZSBpbnRlcnZhbHMgYXJvdW5kIGVmZmVjdCBlc3RpbWF0ZXM8L3RpdGxlPjxzZWNvbmRh
cnktdGl0bGU+QnJheiBKIFBoeXMgVGhlcjwvc2Vjb25kYXJ5LXRpdGxlPjwvdGl0bGVzPjxwZXJp
b2RpY2FsPjxmdWxsLXRpdGxlPkJyYXogSiBQaHlzIFRoZXI8L2Z1bGwtdGl0bGU+PC9wZXJpb2Rp
Y2FsPjxwYWdlcz4yOTAtMzAxPC9wYWdlcz48dm9sdW1lPjIzPC92b2x1bWU+PG51bWJlcj40PC9u
dW1iZXI+PGVkaXRpb24+MjAxOS8wMS8xNTwvZWRpdGlvbj48a2V5d29yZHM+PGtleXdvcmQ+KkJh
eWVzIFRoZW9yZW08L2tleXdvcmQ+PGtleXdvcmQ+SHVtYW5zPC9rZXl3b3JkPjxrZXl3b3JkPlVu
Y2VydGFpbnR5PC9rZXl3b3JkPjxrZXl3b3JkPkJpb3N0YXRpc3RpY3M8L2tleXdvcmQ+PGtleXdv
cmQ+Q29uZmlkZW5jZSBpbnRlcnZhbHM8L2tleXdvcmQ+PGtleXdvcmQ+RXZpZGVuY2UtYmFzZWQg
cHJhY3RpY2U8L2tleXdvcmQ+PGtleXdvcmQ+UGh5c2ljYWwgdGhlcmFweSBzcGVjaWFsdHk8L2tl
eXdvcmQ+PGtleXdvcmQ+U3RhdGlzdGljYWwgZGF0YSBhbmFseXNpczwva2V5d29yZD48L2tleXdv
cmRzPjxkYXRlcz48eWVhcj4yMDE5PC95ZWFyPjxwdWItZGF0ZXM+PGRhdGU+SnVsLUF1ZzwvZGF0
ZT48L3B1Yi1kYXRlcz48L2RhdGVzPjxpc2JuPjE0MTMtMzU1NSAoUHJpbnQpJiN4RDsxNDEzLTM1
NTU8L2lzYm4+PGFjY2Vzc2lvbi1udW0+MzA2Mzg5NTY8L2FjY2Vzc2lvbi1udW0+PHVybHM+PC91
cmxzPjxjdXN0b20yPlBNQzY2MzAxMTM8L2N1c3RvbTI+PGVsZWN0cm9uaWMtcmVzb3VyY2UtbnVt
PjEwLjEwMTYvai5ianB0LjIwMTguMTIuMDA2PC9lbGVjdHJvbmljLXJlc291cmNlLW51bT48cmVt
b3RlLWRhdGFiYXNlLXByb3ZpZGVyPk5MTTwvcmVtb3RlLWRhdGFiYXNlLXByb3ZpZGVyPjxsYW5n
dWFnZT5lbmc8L2xhbmd1YWdlPjwvcmVjb3JkPjwvQ2l0ZT48L0VuZE5vdGU+
</w:fldData>
        </w:fldChar>
      </w:r>
      <w:r>
        <w:rPr>
          <w:rFonts w:ascii="Times New Roman" w:eastAsia="Times New Roman" w:hAnsi="Times New Roman" w:cs="Times New Roman"/>
          <w:sz w:val="20"/>
          <w:szCs w:val="20"/>
        </w:rPr>
        <w:instrText xml:space="preserve"> ADDIN EN.CITE </w:instrText>
      </w:r>
      <w:r>
        <w:rPr>
          <w:rFonts w:ascii="Times New Roman" w:eastAsia="Times New Roman" w:hAnsi="Times New Roman" w:cs="Times New Roman"/>
          <w:sz w:val="20"/>
          <w:szCs w:val="20"/>
        </w:rPr>
        <w:fldChar w:fldCharType="begin">
          <w:fldData xml:space="preserve">PEVuZE5vdGU+PENpdGU+PEF1dGhvcj5IZXNwYW5ob2w8L0F1dGhvcj48WWVhcj4yMDE5PC9ZZWFy
PjxSZWNOdW0+MTMwNzwvUmVjTnVtPjxEaXNwbGF5VGV4dD5bMTAwXTwvRGlzcGxheVRleHQ+PHJl
Y29yZD48cmVjLW51bWJlcj4xMzA3PC9yZWMtbnVtYmVyPjxmb3JlaWduLWtleXM+PGtleSBhcHA9
IkVOIiBkYi1pZD0ieDJ2dnQ1dDI1ZHpycjJleDBma3ZycjJoYWVkZXZzOXN6OWQyIiB0aW1lc3Rh
bXA9IjE3MDIxNjY3MzIiPjEzMDc8L2tleT48L2ZvcmVpZ24ta2V5cz48cmVmLXR5cGUgbmFtZT0i
Sm91cm5hbCBBcnRpY2xlIj4xNzwvcmVmLXR5cGU+PGNvbnRyaWJ1dG9ycz48YXV0aG9ycz48YXV0
aG9yPkhlc3BhbmhvbCwgTC48L2F1dGhvcj48YXV0aG9yPlZhbGxpbywgQy4gUy48L2F1dGhvcj48
YXV0aG9yPkNvc3RhLCBMLiBNLjwvYXV0aG9yPjxhdXRob3I+U2FyYWdpb3R0bywgQi4gVC48L2F1
dGhvcj48L2F1dGhvcnM+PC9jb250cmlidXRvcnM+PGF1dGgtYWRkcmVzcz5NYXN0ZXJzIGFuZCBE
b2N0b3JhbCBQcm9ncmFtcyBpbiBQaHlzaWNhbCBUaGVyYXB5LCBVbml2ZXJzaWRhZGUgQ2lkYWRl
IGRlIFPDo28gUGF1bG8gKFVOSUNJRCksIFPDo28gUGF1bG8sIFNQLCBCcmF6aWw7IERlcGFydG1l
bnQgb2YgUHVibGljIGFuZCBPY2N1cGF0aW9uYWwgSGVhbHRoIChEUE9IKSwgQW1zdGVyZGFtIFB1
YmxpYyBIZWFsdGggUmVzZWFyY2ggSW5zdGl0dXRlIChBUEgpLCBWVSBVbml2ZXJzaXR5IE1lZGlj
YWwgQ2VudGVyIChWVW1jKSwgQW1zdGVyZGFtLCBUaGUgTmV0aGVybGFuZHM7IEFtc3RlcmRhbSBD
b2xsYWJvcmF0aW9uIG9uIEhlYWx0aCBhbmQgU2FmZXR5IGluIFNwb3J0cyAoQUNIU1MpLCBBY2Fk
ZW1pYyBNZWRpY2FsIENlbnRlci9WVSBVbml2ZXJzaXR5IE1lZGljYWwgQ2VudGVyIElPQyBSZXNl
YXJjaCBDZW50ZXIsIEFtc3RlcmRhbSwgVGhlIE5ldGhlcmxhbmRzLiBFbGVjdHJvbmljIGFkZHJl
c3M6IGwuaGVzcGFuaG9sQG91dGxvb2suY29tLiYjeEQ7TWFzdGVycyBhbmQgRG9jdG9yYWwgUHJv
Z3JhbXMgaW4gUGh5c2ljYWwgVGhlcmFweSwgVW5pdmVyc2lkYWRlIENpZGFkZSBkZSBTw6NvIFBh
dWxvIChVTklDSUQpLCBTw6NvIFBhdWxvLCBTUCwgQnJhemlsLjwvYXV0aC1hZGRyZXNzPjx0aXRs
ZXM+PHRpdGxlPlVuZGVyc3RhbmRpbmcgYW5kIGludGVycHJldGluZyBjb25maWRlbmNlIGFuZCBj
cmVkaWJsZSBpbnRlcnZhbHMgYXJvdW5kIGVmZmVjdCBlc3RpbWF0ZXM8L3RpdGxlPjxzZWNvbmRh
cnktdGl0bGU+QnJheiBKIFBoeXMgVGhlcjwvc2Vjb25kYXJ5LXRpdGxlPjwvdGl0bGVzPjxwZXJp
b2RpY2FsPjxmdWxsLXRpdGxlPkJyYXogSiBQaHlzIFRoZXI8L2Z1bGwtdGl0bGU+PC9wZXJpb2Rp
Y2FsPjxwYWdlcz4yOTAtMzAxPC9wYWdlcz48dm9sdW1lPjIzPC92b2x1bWU+PG51bWJlcj40PC9u
dW1iZXI+PGVkaXRpb24+MjAxOS8wMS8xNTwvZWRpdGlvbj48a2V5d29yZHM+PGtleXdvcmQ+KkJh
eWVzIFRoZW9yZW08L2tleXdvcmQ+PGtleXdvcmQ+SHVtYW5zPC9rZXl3b3JkPjxrZXl3b3JkPlVu
Y2VydGFpbnR5PC9rZXl3b3JkPjxrZXl3b3JkPkJpb3N0YXRpc3RpY3M8L2tleXdvcmQ+PGtleXdv
cmQ+Q29uZmlkZW5jZSBpbnRlcnZhbHM8L2tleXdvcmQ+PGtleXdvcmQ+RXZpZGVuY2UtYmFzZWQg
cHJhY3RpY2U8L2tleXdvcmQ+PGtleXdvcmQ+UGh5c2ljYWwgdGhlcmFweSBzcGVjaWFsdHk8L2tl
eXdvcmQ+PGtleXdvcmQ+U3RhdGlzdGljYWwgZGF0YSBhbmFseXNpczwva2V5d29yZD48L2tleXdv
cmRzPjxkYXRlcz48eWVhcj4yMDE5PC95ZWFyPjxwdWItZGF0ZXM+PGRhdGU+SnVsLUF1ZzwvZGF0
ZT48L3B1Yi1kYXRlcz48L2RhdGVzPjxpc2JuPjE0MTMtMzU1NSAoUHJpbnQpJiN4RDsxNDEzLTM1
NTU8L2lzYm4+PGFjY2Vzc2lvbi1udW0+MzA2Mzg5NTY8L2FjY2Vzc2lvbi1udW0+PHVybHM+PC91
cmxzPjxjdXN0b20yPlBNQzY2MzAxMTM8L2N1c3RvbTI+PGVsZWN0cm9uaWMtcmVzb3VyY2UtbnVt
PjEwLjEwMTYvai5ianB0LjIwMTguMTIuMDA2PC9lbGVjdHJvbmljLXJlc291cmNlLW51bT48cmVt
b3RlLWRhdGFiYXNlLXByb3ZpZGVyPk5MTTwvcmVtb3RlLWRhdGFiYXNlLXByb3ZpZGVyPjxsYW5n
dWFnZT5lbmc8L2xhbmd1YWdlPjwvcmVjb3JkPjwvQ2l0ZT48L0VuZE5vdGU+
</w:fldData>
        </w:fldChar>
      </w:r>
      <w:r>
        <w:rPr>
          <w:rFonts w:ascii="Times New Roman" w:eastAsia="Times New Roman" w:hAnsi="Times New Roman" w:cs="Times New Roman"/>
          <w:sz w:val="20"/>
          <w:szCs w:val="20"/>
        </w:rPr>
        <w:instrText xml:space="preserve"> ADDIN EN.CITE.DATA </w:instrText>
      </w:r>
      <w:r>
        <w:rPr>
          <w:rFonts w:ascii="Times New Roman" w:eastAsia="Times New Roman" w:hAnsi="Times New Roman" w:cs="Times New Roman"/>
          <w:sz w:val="20"/>
          <w:szCs w:val="20"/>
        </w:rPr>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[100]</w:t>
      </w:r>
      <w:r>
        <w:rPr>
          <w:rFonts w:ascii="Times New Roman" w:eastAsia="Times New Roman" w:hAnsi="Times New Roman" w:cs="Times New Roman"/>
          <w:sz w:val="20"/>
          <w:szCs w:val="20"/>
        </w:rPr>
        <w:fldChar w:fldCharType="end"/>
      </w:r>
      <w:r w:rsidRPr="00C4187D">
        <w:rPr>
          <w:rFonts w:ascii="Times New Roman" w:eastAsia="Times New Roman" w:hAnsi="Times New Roman" w:cs="Times New Roman"/>
          <w:sz w:val="20"/>
          <w:szCs w:val="20"/>
        </w:rPr>
        <w:t xml:space="preserve">. </w:t>
      </w:r>
      <w:r w:rsidRPr="4D0FACE8">
        <w:rPr>
          <w:rFonts w:ascii="Times New Roman" w:hAnsi="Times New Roman" w:cs="Times New Roman"/>
          <w:sz w:val="20"/>
          <w:szCs w:val="20"/>
        </w:rPr>
        <w:t xml:space="preserve">To set up </w:t>
      </w:r>
      <w:r>
        <w:rPr>
          <w:rFonts w:ascii="Times New Roman" w:hAnsi="Times New Roman" w:cs="Times New Roman"/>
          <w:sz w:val="20"/>
          <w:szCs w:val="20"/>
        </w:rPr>
        <w:t xml:space="preserve">each </w:t>
      </w:r>
      <w:r w:rsidRPr="4D0FACE8">
        <w:rPr>
          <w:rFonts w:ascii="Times New Roman" w:hAnsi="Times New Roman" w:cs="Times New Roman"/>
          <w:sz w:val="20"/>
          <w:szCs w:val="20"/>
        </w:rPr>
        <w:t xml:space="preserve">model, a Near latent common factor (N0) was created comprising </w:t>
      </w:r>
      <w:r>
        <w:rPr>
          <w:rFonts w:ascii="Times New Roman" w:hAnsi="Times New Roman" w:cs="Times New Roman"/>
          <w:sz w:val="20"/>
          <w:szCs w:val="20"/>
        </w:rPr>
        <w:t xml:space="preserve">scores on the relevant Near transfer outcome measures at </w:t>
      </w:r>
      <w:r w:rsidRPr="4D0FACE8">
        <w:rPr>
          <w:rFonts w:ascii="Times New Roman" w:hAnsi="Times New Roman" w:cs="Times New Roman"/>
          <w:sz w:val="20"/>
          <w:szCs w:val="20"/>
        </w:rPr>
        <w:t>pre-</w:t>
      </w:r>
      <w:r>
        <w:rPr>
          <w:rFonts w:ascii="Times New Roman" w:hAnsi="Times New Roman" w:cs="Times New Roman"/>
          <w:sz w:val="20"/>
          <w:szCs w:val="20"/>
        </w:rPr>
        <w:t xml:space="preserve">intervention, </w:t>
      </w:r>
      <w:r w:rsidRPr="4D0FACE8">
        <w:rPr>
          <w:rFonts w:ascii="Times New Roman" w:hAnsi="Times New Roman" w:cs="Times New Roman"/>
          <w:sz w:val="20"/>
          <w:szCs w:val="20"/>
        </w:rPr>
        <w:t xml:space="preserve">and a post-test Near latent common factor was created (N1), comprising </w:t>
      </w:r>
      <w:r>
        <w:rPr>
          <w:rFonts w:ascii="Times New Roman" w:hAnsi="Times New Roman" w:cs="Times New Roman"/>
          <w:sz w:val="20"/>
          <w:szCs w:val="20"/>
        </w:rPr>
        <w:t>scores on the same outcome measures a</w:t>
      </w:r>
      <w:r w:rsidRPr="4D0FACE8">
        <w:rPr>
          <w:rFonts w:ascii="Times New Roman" w:hAnsi="Times New Roman" w:cs="Times New Roman"/>
          <w:sz w:val="20"/>
          <w:szCs w:val="20"/>
        </w:rPr>
        <w:t>t post-</w:t>
      </w:r>
      <w:r>
        <w:rPr>
          <w:rFonts w:ascii="Times New Roman" w:hAnsi="Times New Roman" w:cs="Times New Roman"/>
          <w:sz w:val="20"/>
          <w:szCs w:val="20"/>
        </w:rPr>
        <w:t>intervention</w:t>
      </w:r>
      <w:r w:rsidRPr="4D0FACE8">
        <w:rPr>
          <w:rFonts w:ascii="Times New Roman" w:hAnsi="Times New Roman" w:cs="Times New Roman"/>
          <w:sz w:val="20"/>
          <w:szCs w:val="20"/>
        </w:rPr>
        <w:t xml:space="preserve">. Similarly, two Far latent factors were created, comprising </w:t>
      </w:r>
      <w:r>
        <w:rPr>
          <w:rFonts w:ascii="Times New Roman" w:hAnsi="Times New Roman" w:cs="Times New Roman"/>
          <w:sz w:val="20"/>
          <w:szCs w:val="20"/>
        </w:rPr>
        <w:t xml:space="preserve">scores on </w:t>
      </w:r>
      <w:r w:rsidRPr="4D0FACE8">
        <w:rPr>
          <w:rFonts w:ascii="Times New Roman" w:hAnsi="Times New Roman" w:cs="Times New Roman"/>
          <w:sz w:val="20"/>
          <w:szCs w:val="20"/>
        </w:rPr>
        <w:t>the Far transfer measures (</w:t>
      </w:r>
      <w:r w:rsidRPr="005D7CCB">
        <w:rPr>
          <w:rFonts w:ascii="Times New Roman" w:hAnsi="Times New Roman" w:cs="Times New Roman"/>
          <w:bCs/>
          <w:color w:val="000000"/>
          <w:sz w:val="20"/>
          <w:szCs w:val="20"/>
        </w:rPr>
        <w:t xml:space="preserve">Executive Dysfunction and </w:t>
      </w:r>
      <w:r>
        <w:rPr>
          <w:rFonts w:ascii="Times New Roman" w:hAnsi="Times New Roman" w:cs="Times New Roman"/>
          <w:bCs/>
          <w:color w:val="000000"/>
          <w:sz w:val="20"/>
          <w:szCs w:val="20"/>
        </w:rPr>
        <w:t>S</w:t>
      </w:r>
      <w:r w:rsidRPr="005D7CCB">
        <w:rPr>
          <w:rFonts w:ascii="Times New Roman" w:hAnsi="Times New Roman" w:cs="Times New Roman"/>
          <w:bCs/>
          <w:color w:val="000000"/>
          <w:sz w:val="20"/>
          <w:szCs w:val="20"/>
        </w:rPr>
        <w:t xml:space="preserve">ocial/emotional </w:t>
      </w:r>
      <w:r>
        <w:rPr>
          <w:rFonts w:ascii="Times New Roman" w:hAnsi="Times New Roman" w:cs="Times New Roman"/>
          <w:bCs/>
          <w:color w:val="000000"/>
          <w:sz w:val="20"/>
          <w:szCs w:val="20"/>
        </w:rPr>
        <w:t>W</w:t>
      </w:r>
      <w:r w:rsidRPr="005D7CCB">
        <w:rPr>
          <w:rFonts w:ascii="Times New Roman" w:hAnsi="Times New Roman" w:cs="Times New Roman"/>
          <w:bCs/>
          <w:color w:val="000000"/>
          <w:sz w:val="20"/>
          <w:szCs w:val="20"/>
        </w:rPr>
        <w:t>ellbeing</w:t>
      </w:r>
      <w:r w:rsidRPr="4D0FACE8">
        <w:rPr>
          <w:rFonts w:ascii="Times New Roman" w:hAnsi="Times New Roman" w:cs="Times New Roman"/>
          <w:sz w:val="20"/>
          <w:szCs w:val="20"/>
        </w:rPr>
        <w:t xml:space="preserve">), measured at pre-test (F0) and post-test (F1). </w:t>
      </w:r>
      <w:r w:rsidRPr="4D0FACE8">
        <w:rPr>
          <w:rFonts w:ascii="Times New Roman" w:eastAsia="Times New Roman" w:hAnsi="Times New Roman" w:cs="Times New Roman"/>
          <w:sz w:val="20"/>
          <w:szCs w:val="20"/>
        </w:rPr>
        <w:t>The unobserved changed component was modelled by including a Near Change (NC), and a Far Change (FC) simultaneous regression, each predicted by N0 and F0, thereby allowing autoregression and lagged and cross-lagged regression to be incorporated into the model, so that the sequential effect of each variable upon other variable</w:t>
      </w:r>
      <w:r>
        <w:rPr>
          <w:rFonts w:ascii="Times New Roman" w:eastAsia="Times New Roman" w:hAnsi="Times New Roman" w:cs="Times New Roman"/>
          <w:sz w:val="20"/>
          <w:szCs w:val="20"/>
        </w:rPr>
        <w:t>s</w:t>
      </w:r>
      <w:r w:rsidRPr="4D0FACE8">
        <w:rPr>
          <w:rFonts w:ascii="Times New Roman" w:eastAsia="Times New Roman" w:hAnsi="Times New Roman" w:cs="Times New Roman"/>
          <w:sz w:val="20"/>
          <w:szCs w:val="20"/>
        </w:rPr>
        <w:t xml:space="preserve"> and timepoints was included in the model. </w:t>
      </w:r>
      <w:r>
        <w:rPr>
          <w:rFonts w:ascii="Times New Roman" w:eastAsia="Times New Roman" w:hAnsi="Times New Roman" w:cs="Times New Roman"/>
          <w:sz w:val="20"/>
          <w:szCs w:val="20"/>
        </w:rPr>
        <w:t xml:space="preserve">The </w:t>
      </w:r>
      <w:r w:rsidRPr="4D0FACE8">
        <w:rPr>
          <w:rFonts w:ascii="Times New Roman" w:hAnsi="Times New Roman" w:cs="Times New Roman"/>
          <w:sz w:val="20"/>
          <w:szCs w:val="20"/>
        </w:rPr>
        <w:t xml:space="preserve">post-test </w:t>
      </w:r>
      <w:r>
        <w:rPr>
          <w:rFonts w:ascii="Times New Roman" w:hAnsi="Times New Roman" w:cs="Times New Roman"/>
          <w:sz w:val="20"/>
          <w:szCs w:val="20"/>
        </w:rPr>
        <w:t xml:space="preserve">common factor </w:t>
      </w:r>
      <w:r w:rsidRPr="4D0FACE8">
        <w:rPr>
          <w:rFonts w:ascii="Times New Roman" w:hAnsi="Times New Roman" w:cs="Times New Roman"/>
          <w:sz w:val="20"/>
          <w:szCs w:val="20"/>
        </w:rPr>
        <w:t xml:space="preserve">scores </w:t>
      </w:r>
      <w:r>
        <w:rPr>
          <w:rFonts w:ascii="Times New Roman" w:hAnsi="Times New Roman" w:cs="Times New Roman"/>
          <w:sz w:val="20"/>
          <w:szCs w:val="20"/>
        </w:rPr>
        <w:t xml:space="preserve">(N1 and F1) </w:t>
      </w:r>
      <w:r w:rsidRPr="4D0FACE8">
        <w:rPr>
          <w:rFonts w:ascii="Times New Roman" w:hAnsi="Times New Roman" w:cs="Times New Roman"/>
          <w:sz w:val="20"/>
          <w:szCs w:val="20"/>
        </w:rPr>
        <w:t xml:space="preserve">were </w:t>
      </w:r>
      <w:r>
        <w:rPr>
          <w:rFonts w:ascii="Times New Roman" w:hAnsi="Times New Roman" w:cs="Times New Roman"/>
          <w:sz w:val="20"/>
          <w:szCs w:val="20"/>
        </w:rPr>
        <w:t>modelled as</w:t>
      </w:r>
      <w:r w:rsidRPr="4D0FACE8">
        <w:rPr>
          <w:rFonts w:ascii="Times New Roman" w:hAnsi="Times New Roman" w:cs="Times New Roman"/>
          <w:sz w:val="20"/>
          <w:szCs w:val="20"/>
        </w:rPr>
        <w:t xml:space="preserve"> pre-test scores plus </w:t>
      </w:r>
      <w:r>
        <w:rPr>
          <w:rFonts w:ascii="Times New Roman" w:hAnsi="Times New Roman" w:cs="Times New Roman"/>
          <w:sz w:val="20"/>
          <w:szCs w:val="20"/>
        </w:rPr>
        <w:t xml:space="preserve">the </w:t>
      </w:r>
      <w:r w:rsidRPr="4D0FACE8">
        <w:rPr>
          <w:rFonts w:ascii="Times New Roman" w:hAnsi="Times New Roman" w:cs="Times New Roman"/>
          <w:sz w:val="20"/>
          <w:szCs w:val="20"/>
        </w:rPr>
        <w:t>unobserved change component</w:t>
      </w:r>
      <w:r>
        <w:rPr>
          <w:rFonts w:ascii="Times New Roman" w:hAnsi="Times New Roman" w:cs="Times New Roman"/>
          <w:sz w:val="20"/>
          <w:szCs w:val="20"/>
        </w:rPr>
        <w:t xml:space="preserve"> </w:t>
      </w:r>
      <w:r w:rsidRPr="4D0FACE8">
        <w:rPr>
          <w:rFonts w:ascii="Times New Roman" w:hAnsi="Times New Roman" w:cs="Times New Roman"/>
          <w:sz w:val="20"/>
          <w:szCs w:val="20"/>
        </w:rPr>
        <w:t xml:space="preserve">with fixed-unit values (N1 = 1*N0 + 1*NC, and F1 = 1*F0 + 1*FC). </w:t>
      </w:r>
      <w:r>
        <w:rPr>
          <w:rFonts w:ascii="Times New Roman" w:hAnsi="Times New Roman" w:cs="Times New Roman"/>
          <w:sz w:val="20"/>
          <w:szCs w:val="20"/>
        </w:rPr>
        <w:t xml:space="preserve">In all analyses an average Social/emotional Wellbeing score which combined the </w:t>
      </w:r>
      <w:r w:rsidRPr="4D0FACE8">
        <w:rPr>
          <w:rFonts w:ascii="Times New Roman" w:hAnsi="Times New Roman" w:cs="Times New Roman"/>
          <w:sz w:val="20"/>
          <w:szCs w:val="20"/>
        </w:rPr>
        <w:t xml:space="preserve">mean of </w:t>
      </w:r>
      <w:r>
        <w:rPr>
          <w:rFonts w:ascii="Times New Roman" w:hAnsi="Times New Roman" w:cs="Times New Roman"/>
          <w:sz w:val="20"/>
          <w:szCs w:val="20"/>
        </w:rPr>
        <w:t>both</w:t>
      </w:r>
      <w:r w:rsidRPr="4D0FACE8">
        <w:rPr>
          <w:rFonts w:ascii="Times New Roman" w:hAnsi="Times New Roman" w:cs="Times New Roman"/>
          <w:sz w:val="20"/>
          <w:szCs w:val="20"/>
        </w:rPr>
        <w:t xml:space="preserve"> parent’s and the teacher’s rating</w:t>
      </w:r>
      <w:r>
        <w:rPr>
          <w:rFonts w:ascii="Times New Roman" w:hAnsi="Times New Roman" w:cs="Times New Roman"/>
          <w:sz w:val="20"/>
          <w:szCs w:val="20"/>
        </w:rPr>
        <w:t>s</w:t>
      </w:r>
      <w:r w:rsidRPr="4D0FACE8">
        <w:rPr>
          <w:rFonts w:ascii="Times New Roman" w:hAnsi="Times New Roman" w:cs="Times New Roman"/>
          <w:sz w:val="20"/>
          <w:szCs w:val="20"/>
        </w:rPr>
        <w:t xml:space="preserve"> </w:t>
      </w:r>
      <w:r>
        <w:rPr>
          <w:rFonts w:ascii="Times New Roman" w:hAnsi="Times New Roman" w:cs="Times New Roman"/>
          <w:sz w:val="20"/>
          <w:szCs w:val="20"/>
        </w:rPr>
        <w:t xml:space="preserve">was used to avoid issues of </w:t>
      </w:r>
      <w:r w:rsidRPr="4D0FACE8">
        <w:rPr>
          <w:rFonts w:ascii="Times New Roman" w:hAnsi="Times New Roman" w:cs="Times New Roman"/>
          <w:sz w:val="20"/>
          <w:szCs w:val="20"/>
        </w:rPr>
        <w:t>multicollinearity.</w:t>
      </w:r>
    </w:p>
    <w:p w14:paraId="2860822C" w14:textId="77777777" w:rsidR="00B93683" w:rsidRDefault="00B93683" w:rsidP="00B93683">
      <w:pPr>
        <w:ind w:firstLine="720"/>
        <w:rPr>
          <w:rFonts w:ascii="Times New Roman" w:hAnsi="Times New Roman" w:cs="Times New Roman"/>
          <w:sz w:val="20"/>
          <w:szCs w:val="20"/>
        </w:rPr>
      </w:pPr>
      <w:r w:rsidRPr="4D0FACE8">
        <w:rPr>
          <w:rFonts w:ascii="Times New Roman" w:hAnsi="Times New Roman" w:cs="Times New Roman"/>
          <w:sz w:val="20"/>
          <w:szCs w:val="20"/>
        </w:rPr>
        <w:t xml:space="preserve">As per </w:t>
      </w:r>
      <w:r>
        <w:rPr>
          <w:rFonts w:ascii="Times New Roman" w:hAnsi="Times New Roman" w:cs="Times New Roman"/>
          <w:sz w:val="20"/>
          <w:szCs w:val="20"/>
        </w:rPr>
        <w:t xml:space="preserve">Figure 4 in </w:t>
      </w:r>
      <w:r w:rsidRPr="4D0FACE8">
        <w:rPr>
          <w:rFonts w:ascii="Times New Roman" w:hAnsi="Times New Roman" w:cs="Times New Roman"/>
          <w:sz w:val="20"/>
          <w:szCs w:val="20"/>
        </w:rPr>
        <w:t xml:space="preserve">McArdle and Prindle </w:t>
      </w:r>
      <w:r>
        <w:rPr>
          <w:rFonts w:ascii="Times New Roman" w:hAnsi="Times New Roman" w:cs="Times New Roman"/>
          <w:sz w:val="20"/>
          <w:szCs w:val="20"/>
        </w:rPr>
        <w:t>[90]</w:t>
      </w:r>
      <w:r w:rsidRPr="4D0FACE8">
        <w:rPr>
          <w:rFonts w:ascii="Times New Roman" w:hAnsi="Times New Roman" w:cs="Times New Roman"/>
          <w:sz w:val="20"/>
          <w:szCs w:val="20"/>
        </w:rPr>
        <w:t>, ‘group’ (i</w:t>
      </w:r>
      <w:r>
        <w:rPr>
          <w:rFonts w:ascii="Times New Roman" w:hAnsi="Times New Roman" w:cs="Times New Roman"/>
          <w:sz w:val="20"/>
          <w:szCs w:val="20"/>
        </w:rPr>
        <w:t>.</w:t>
      </w:r>
      <w:r w:rsidRPr="4D0FACE8">
        <w:rPr>
          <w:rFonts w:ascii="Times New Roman" w:hAnsi="Times New Roman" w:cs="Times New Roman"/>
          <w:sz w:val="20"/>
          <w:szCs w:val="20"/>
        </w:rPr>
        <w:t>e</w:t>
      </w:r>
      <w:r>
        <w:rPr>
          <w:rFonts w:ascii="Times New Roman" w:hAnsi="Times New Roman" w:cs="Times New Roman"/>
          <w:sz w:val="20"/>
          <w:szCs w:val="20"/>
        </w:rPr>
        <w:t>.</w:t>
      </w:r>
      <w:r w:rsidRPr="4D0FACE8">
        <w:rPr>
          <w:rFonts w:ascii="Times New Roman" w:hAnsi="Times New Roman" w:cs="Times New Roman"/>
          <w:sz w:val="20"/>
          <w:szCs w:val="20"/>
        </w:rPr>
        <w:t xml:space="preserve"> intervention vs control group) was not included as a model factor. Rather, the models were implemented upon both groups at the same time by using the ‘group’ property in </w:t>
      </w:r>
      <w:proofErr w:type="spellStart"/>
      <w:r w:rsidRPr="4D0FACE8">
        <w:rPr>
          <w:rFonts w:ascii="Times New Roman" w:hAnsi="Times New Roman" w:cs="Times New Roman"/>
          <w:sz w:val="20"/>
          <w:szCs w:val="20"/>
        </w:rPr>
        <w:t>blavaan</w:t>
      </w:r>
      <w:proofErr w:type="spellEnd"/>
      <w:r w:rsidRPr="4D0FACE8">
        <w:rPr>
          <w:rFonts w:ascii="Times New Roman" w:hAnsi="Times New Roman" w:cs="Times New Roman"/>
          <w:sz w:val="20"/>
          <w:szCs w:val="20"/>
        </w:rPr>
        <w:t xml:space="preserve">. </w:t>
      </w:r>
      <w:r>
        <w:rPr>
          <w:rFonts w:ascii="Times New Roman" w:hAnsi="Times New Roman" w:cs="Times New Roman"/>
          <w:sz w:val="20"/>
          <w:szCs w:val="20"/>
        </w:rPr>
        <w:t xml:space="preserve">The pre-post comparison was </w:t>
      </w:r>
      <w:r w:rsidRPr="4D0FACE8">
        <w:rPr>
          <w:rFonts w:ascii="Times New Roman" w:hAnsi="Times New Roman" w:cs="Times New Roman"/>
          <w:sz w:val="20"/>
          <w:szCs w:val="20"/>
        </w:rPr>
        <w:t>implemented four times (and</w:t>
      </w:r>
      <w:r>
        <w:rPr>
          <w:rFonts w:ascii="Times New Roman" w:hAnsi="Times New Roman" w:cs="Times New Roman"/>
          <w:sz w:val="20"/>
          <w:szCs w:val="20"/>
        </w:rPr>
        <w:t xml:space="preserve">, similarly, the </w:t>
      </w:r>
      <w:r w:rsidRPr="4D0FACE8">
        <w:rPr>
          <w:rFonts w:ascii="Times New Roman" w:hAnsi="Times New Roman" w:cs="Times New Roman"/>
          <w:sz w:val="20"/>
          <w:szCs w:val="20"/>
        </w:rPr>
        <w:t>pre-follow-up comparison</w:t>
      </w:r>
      <w:r>
        <w:rPr>
          <w:rFonts w:ascii="Times New Roman" w:hAnsi="Times New Roman" w:cs="Times New Roman"/>
          <w:sz w:val="20"/>
          <w:szCs w:val="20"/>
        </w:rPr>
        <w:t xml:space="preserve"> was implemented four times, so eight models were implemented for each executive function domain). T</w:t>
      </w:r>
      <w:r w:rsidRPr="4D0FACE8">
        <w:rPr>
          <w:rFonts w:ascii="Times New Roman" w:hAnsi="Times New Roman" w:cs="Times New Roman"/>
          <w:sz w:val="20"/>
          <w:szCs w:val="20"/>
        </w:rPr>
        <w:t>he degree of measurement invariance was increasingly relaxed across the groups</w:t>
      </w:r>
      <w:r>
        <w:rPr>
          <w:rFonts w:ascii="Times New Roman" w:hAnsi="Times New Roman" w:cs="Times New Roman"/>
          <w:sz w:val="20"/>
          <w:szCs w:val="20"/>
        </w:rPr>
        <w:t xml:space="preserve"> for each model, and then model fit was compared. The level of invariance across the groups of the model that provides the best fit indicates group differences, as explained further below. </w:t>
      </w:r>
      <w:r w:rsidRPr="4D0FACE8">
        <w:rPr>
          <w:rFonts w:ascii="Times New Roman" w:hAnsi="Times New Roman" w:cs="Times New Roman"/>
          <w:sz w:val="20"/>
          <w:szCs w:val="20"/>
        </w:rPr>
        <w:t>All models required fixed factor loadings</w:t>
      </w:r>
      <w:r>
        <w:rPr>
          <w:rFonts w:ascii="Times New Roman" w:hAnsi="Times New Roman" w:cs="Times New Roman"/>
          <w:sz w:val="20"/>
          <w:szCs w:val="20"/>
        </w:rPr>
        <w:t xml:space="preserve"> across the groups</w:t>
      </w:r>
      <w:r w:rsidRPr="4D0FACE8">
        <w:rPr>
          <w:rFonts w:ascii="Times New Roman" w:hAnsi="Times New Roman" w:cs="Times New Roman"/>
          <w:sz w:val="20"/>
          <w:szCs w:val="20"/>
        </w:rPr>
        <w:t>, so that the weighting of each observed variable upon each factor is equal across both groups</w:t>
      </w:r>
      <w:r>
        <w:rPr>
          <w:rFonts w:ascii="Times New Roman" w:hAnsi="Times New Roman" w:cs="Times New Roman"/>
          <w:sz w:val="20"/>
          <w:szCs w:val="20"/>
        </w:rPr>
        <w:t>. The increasing relaxation of invariance across the four models is now described, as well as what each model would show, should it be the best fitting of the four models.</w:t>
      </w:r>
    </w:p>
    <w:p w14:paraId="196EA322" w14:textId="77777777" w:rsidR="00B93683" w:rsidRDefault="00B93683" w:rsidP="00B93683">
      <w:pPr>
        <w:ind w:firstLine="720"/>
        <w:rPr>
          <w:rFonts w:ascii="Times New Roman" w:hAnsi="Times New Roman" w:cs="Times New Roman"/>
          <w:sz w:val="20"/>
          <w:szCs w:val="20"/>
        </w:rPr>
      </w:pPr>
      <w:r w:rsidRPr="4D0FACE8">
        <w:rPr>
          <w:rFonts w:ascii="Times New Roman" w:hAnsi="Times New Roman" w:cs="Times New Roman"/>
          <w:sz w:val="20"/>
          <w:szCs w:val="20"/>
        </w:rPr>
        <w:lastRenderedPageBreak/>
        <w:t xml:space="preserve">Model 1 is the simplest </w:t>
      </w:r>
      <w:r>
        <w:rPr>
          <w:rFonts w:ascii="Times New Roman" w:hAnsi="Times New Roman" w:cs="Times New Roman"/>
          <w:sz w:val="20"/>
          <w:szCs w:val="20"/>
        </w:rPr>
        <w:t xml:space="preserve">and most invariant </w:t>
      </w:r>
      <w:r w:rsidRPr="4D0FACE8">
        <w:rPr>
          <w:rFonts w:ascii="Times New Roman" w:hAnsi="Times New Roman" w:cs="Times New Roman"/>
          <w:sz w:val="20"/>
          <w:szCs w:val="20"/>
        </w:rPr>
        <w:t>model, requiring fixed regression coefficients and intercepts</w:t>
      </w:r>
      <w:r>
        <w:rPr>
          <w:rFonts w:ascii="Times New Roman" w:hAnsi="Times New Roman" w:cs="Times New Roman"/>
          <w:sz w:val="20"/>
          <w:szCs w:val="20"/>
        </w:rPr>
        <w:t xml:space="preserve"> to be </w:t>
      </w:r>
      <w:r w:rsidRPr="4D0FACE8">
        <w:rPr>
          <w:rFonts w:ascii="Times New Roman" w:hAnsi="Times New Roman" w:cs="Times New Roman"/>
          <w:sz w:val="20"/>
          <w:szCs w:val="20"/>
        </w:rPr>
        <w:t xml:space="preserve">invariant over time and groups. If this model fits better than the other models, the model indicates no differences between groups on any parameters, and no change over time. </w:t>
      </w:r>
    </w:p>
    <w:p w14:paraId="44751E53" w14:textId="77777777" w:rsidR="00B93683" w:rsidRDefault="00B93683" w:rsidP="00B93683">
      <w:pPr>
        <w:ind w:firstLine="720"/>
        <w:jc w:val="both"/>
        <w:rPr>
          <w:rFonts w:ascii="Times New Roman" w:hAnsi="Times New Roman" w:cs="Times New Roman"/>
          <w:sz w:val="20"/>
          <w:szCs w:val="20"/>
        </w:rPr>
      </w:pPr>
      <w:r>
        <w:rPr>
          <w:rFonts w:ascii="Times New Roman" w:hAnsi="Times New Roman" w:cs="Times New Roman"/>
          <w:sz w:val="20"/>
          <w:szCs w:val="20"/>
        </w:rPr>
        <w:t xml:space="preserve">Model 2 relaxed Model 1 further by allowing the change intercepts to differ over groups (i.e. the intercepts of NC and FC). If this model is superior to Model 1, </w:t>
      </w:r>
      <w:r w:rsidRPr="00D44DE3">
        <w:rPr>
          <w:rFonts w:ascii="Times New Roman" w:hAnsi="Times New Roman" w:cs="Times New Roman"/>
          <w:sz w:val="20"/>
          <w:szCs w:val="20"/>
        </w:rPr>
        <w:t xml:space="preserve">it suggests that there may be differences in the Near Change and Far Change latent factors between groups, but </w:t>
      </w:r>
      <w:r>
        <w:rPr>
          <w:rFonts w:ascii="Times New Roman" w:hAnsi="Times New Roman" w:cs="Times New Roman"/>
          <w:sz w:val="20"/>
          <w:szCs w:val="20"/>
        </w:rPr>
        <w:t xml:space="preserve">no evidence that </w:t>
      </w:r>
      <w:r w:rsidRPr="00D44DE3">
        <w:rPr>
          <w:rFonts w:ascii="Times New Roman" w:hAnsi="Times New Roman" w:cs="Times New Roman"/>
          <w:sz w:val="20"/>
          <w:szCs w:val="20"/>
        </w:rPr>
        <w:t xml:space="preserve">the degree of change is different </w:t>
      </w:r>
      <w:r>
        <w:rPr>
          <w:rFonts w:ascii="Times New Roman" w:hAnsi="Times New Roman" w:cs="Times New Roman"/>
          <w:sz w:val="20"/>
          <w:szCs w:val="20"/>
        </w:rPr>
        <w:t xml:space="preserve">across </w:t>
      </w:r>
      <w:r w:rsidRPr="00D44DE3">
        <w:rPr>
          <w:rFonts w:ascii="Times New Roman" w:hAnsi="Times New Roman" w:cs="Times New Roman"/>
          <w:sz w:val="20"/>
          <w:szCs w:val="20"/>
        </w:rPr>
        <w:t>groups. This is similar to observing a difference in pre and post scores for each group in a traditional RCT ANOVA, but not an interaction between groups over time.</w:t>
      </w:r>
      <w:r>
        <w:rPr>
          <w:rFonts w:ascii="Times New Roman" w:hAnsi="Times New Roman" w:cs="Times New Roman"/>
          <w:sz w:val="20"/>
          <w:szCs w:val="20"/>
        </w:rPr>
        <w:t xml:space="preserve"> </w:t>
      </w:r>
    </w:p>
    <w:p w14:paraId="5C194139" w14:textId="77777777" w:rsidR="00B93683" w:rsidRDefault="00B93683" w:rsidP="00B93683">
      <w:pPr>
        <w:ind w:firstLine="720"/>
        <w:jc w:val="both"/>
        <w:rPr>
          <w:rFonts w:ascii="Times New Roman" w:hAnsi="Times New Roman" w:cs="Times New Roman"/>
          <w:sz w:val="20"/>
          <w:szCs w:val="20"/>
        </w:rPr>
      </w:pPr>
      <w:r>
        <w:rPr>
          <w:rFonts w:ascii="Times New Roman" w:hAnsi="Times New Roman" w:cs="Times New Roman"/>
          <w:sz w:val="20"/>
          <w:szCs w:val="20"/>
        </w:rPr>
        <w:t xml:space="preserve">Model 3 allowed the pre-test transfer regression (i.e. N0 + F0 </w:t>
      </w:r>
      <w:r w:rsidRPr="00083EEC">
        <w:rPr>
          <w:rFonts w:ascii="Wingdings" w:eastAsia="Wingdings" w:hAnsi="Wingdings" w:cs="Wingdings"/>
          <w:sz w:val="20"/>
          <w:szCs w:val="20"/>
        </w:rPr>
        <w:t></w:t>
      </w:r>
      <w:r>
        <w:rPr>
          <w:rFonts w:ascii="Times New Roman" w:hAnsi="Times New Roman" w:cs="Times New Roman"/>
          <w:sz w:val="20"/>
          <w:szCs w:val="20"/>
        </w:rPr>
        <w:t xml:space="preserve"> NC and N0 + F0 </w:t>
      </w:r>
      <w:r w:rsidRPr="00083EEC">
        <w:rPr>
          <w:rFonts w:ascii="Wingdings" w:eastAsia="Wingdings" w:hAnsi="Wingdings" w:cs="Wingdings"/>
          <w:sz w:val="20"/>
          <w:szCs w:val="20"/>
        </w:rPr>
        <w:t></w:t>
      </w:r>
      <w:r>
        <w:rPr>
          <w:rFonts w:ascii="Times New Roman" w:hAnsi="Times New Roman" w:cs="Times New Roman"/>
          <w:sz w:val="20"/>
          <w:szCs w:val="20"/>
        </w:rPr>
        <w:t xml:space="preserve"> FC) to differ over groups, that is, the impact of the autoregression, and lagged and crossed regressions. If this model is superior to Model 2, this suggests that the dynamic and sequential effects of variables within the model differ between groups. </w:t>
      </w:r>
    </w:p>
    <w:p w14:paraId="4FE81733" w14:textId="77777777" w:rsidR="00B93683" w:rsidRDefault="00B93683" w:rsidP="00B93683">
      <w:pPr>
        <w:ind w:firstLine="720"/>
        <w:jc w:val="both"/>
        <w:rPr>
          <w:rFonts w:ascii="Times New Roman" w:hAnsi="Times New Roman" w:cs="Times New Roman"/>
          <w:sz w:val="20"/>
          <w:szCs w:val="20"/>
        </w:rPr>
      </w:pPr>
      <w:r w:rsidRPr="00F90A99">
        <w:rPr>
          <w:rFonts w:ascii="Times New Roman" w:hAnsi="Times New Roman" w:cs="Times New Roman"/>
          <w:sz w:val="20"/>
          <w:szCs w:val="20"/>
        </w:rPr>
        <w:t xml:space="preserve">Finally, </w:t>
      </w:r>
      <w:r>
        <w:rPr>
          <w:rFonts w:ascii="Times New Roman" w:hAnsi="Times New Roman" w:cs="Times New Roman"/>
          <w:sz w:val="20"/>
          <w:szCs w:val="20"/>
        </w:rPr>
        <w:t xml:space="preserve">for Model 4 the Near Change to Far Change regression is allowed to differ across groups. If this model fits the </w:t>
      </w:r>
      <w:r w:rsidRPr="002803B2">
        <w:rPr>
          <w:rFonts w:ascii="Times New Roman" w:hAnsi="Times New Roman" w:cs="Times New Roman"/>
          <w:sz w:val="20"/>
          <w:szCs w:val="20"/>
        </w:rPr>
        <w:t xml:space="preserve">best, this suggests that the transfer of change from Near to Far differs between groups, equivalent to a group by time interaction </w:t>
      </w:r>
      <w:r w:rsidRPr="00BE7D90">
        <w:rPr>
          <w:rFonts w:ascii="Times New Roman" w:hAnsi="Times New Roman" w:cs="Times New Roman"/>
          <w:sz w:val="20"/>
          <w:szCs w:val="20"/>
        </w:rPr>
        <w:t xml:space="preserve">in a traditional 2x2 mixed-ANOVA in an RCT design. </w:t>
      </w:r>
    </w:p>
    <w:p w14:paraId="15CEE429" w14:textId="77777777" w:rsidR="00B93683" w:rsidRDefault="00B93683" w:rsidP="00B93683">
      <w:pPr>
        <w:ind w:firstLine="720"/>
        <w:rPr>
          <w:rFonts w:ascii="Times New Roman" w:hAnsi="Times New Roman" w:cs="Times New Roman"/>
          <w:sz w:val="20"/>
          <w:szCs w:val="20"/>
        </w:rPr>
      </w:pPr>
      <w:r w:rsidRPr="4D0FACE8">
        <w:rPr>
          <w:rFonts w:ascii="Times New Roman" w:hAnsi="Times New Roman" w:cs="Times New Roman"/>
          <w:sz w:val="20"/>
          <w:szCs w:val="20"/>
        </w:rPr>
        <w:t xml:space="preserve">All models were implemented using the </w:t>
      </w:r>
      <w:proofErr w:type="spellStart"/>
      <w:r w:rsidRPr="4D0FACE8">
        <w:rPr>
          <w:rFonts w:ascii="Times New Roman" w:hAnsi="Times New Roman" w:cs="Times New Roman"/>
          <w:sz w:val="20"/>
          <w:szCs w:val="20"/>
        </w:rPr>
        <w:t>blavaan</w:t>
      </w:r>
      <w:proofErr w:type="spellEnd"/>
      <w:r w:rsidRPr="4D0FACE8">
        <w:rPr>
          <w:rFonts w:ascii="Times New Roman" w:hAnsi="Times New Roman" w:cs="Times New Roman"/>
          <w:sz w:val="20"/>
          <w:szCs w:val="20"/>
        </w:rPr>
        <w:t xml:space="preserve"> package</w:t>
      </w:r>
      <w:r>
        <w:rPr>
          <w:rFonts w:ascii="Times New Roman" w:hAnsi="Times New Roman" w:cs="Times New Roman"/>
          <w:sz w:val="20"/>
          <w:szCs w:val="20"/>
        </w:rPr>
        <w:t xml:space="preserve"> </w:t>
      </w:r>
      <w:r w:rsidRPr="4D0FACE8">
        <w:rPr>
          <w:rFonts w:ascii="Times New Roman" w:hAnsi="Times New Roman" w:cs="Times New Roman"/>
          <w:sz w:val="20"/>
          <w:szCs w:val="20"/>
        </w:rPr>
        <w:t>for Bayesian latent variable analysis in R</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&lt;EndNote&gt;&lt;Cite&gt;&lt;Author&gt;Merkle&lt;/Author&gt;&lt;Year&gt;2021&lt;/Year&gt;&lt;RecNum&gt;1317&lt;/RecNum&gt;&lt;DisplayText&gt;[101]&lt;/DisplayText&gt;&lt;record&gt;&lt;rec-number&gt;1317&lt;/rec-number&gt;&lt;foreign-keys&gt;&lt;key app="EN" db-id="x2vvt5t25dzrr2ex0fkvrr2haedevs9sz9d2" timestamp="1702530148"&gt;1317&lt;/key&gt;&lt;/foreign-keys&gt;&lt;ref-type name="Journal Article"&gt;17&lt;/ref-type&gt;&lt;contributors&gt;&lt;authors&gt;&lt;author&gt;Merkle, Edgar C.&lt;/author&gt;&lt;author&gt;Fitzsimmons, Ellen&lt;/author&gt;&lt;author&gt;Uanhoro, James&lt;/author&gt;&lt;author&gt;Goodrich, Ben&lt;/author&gt;&lt;/authors&gt;&lt;/contributors&gt;&lt;titles&gt;&lt;title&gt;Efficient Bayesian Structural Equation Modeling in Stan&lt;/title&gt;&lt;secondary-title&gt;Journal of Statistical Software&lt;/secondary-title&gt;&lt;/titles&gt;&lt;periodical&gt;&lt;full-title&gt;Journal of Statistical Software&lt;/full-title&gt;&lt;/periodical&gt;&lt;pages&gt;1 - 22&lt;/pages&gt;&lt;volume&gt;100&lt;/volume&gt;&lt;number&gt;6&lt;/number&gt;&lt;section&gt;Articles&lt;/section&gt;&lt;dates&gt;&lt;year&gt;2021&lt;/year&gt;&lt;pub-dates&gt;&lt;date&gt;11/30&lt;/date&gt;&lt;/pub-dates&gt;&lt;/dates&gt;&lt;urls&gt;&lt;related-urls&gt;&lt;url&gt;https://www.jstatsoft.org/index.php/jss/article/view/v100i06&lt;/url&gt;&lt;/related-urls&gt;&lt;/urls&gt;&lt;electronic-resource-num&gt;10.18637/jss.v100.i06&lt;/electronic-resource-num&gt;&lt;access-date&gt;2023/12/14&lt;/access-date&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[101]</w:t>
      </w:r>
      <w:r>
        <w:rPr>
          <w:rFonts w:ascii="Times New Roman" w:hAnsi="Times New Roman" w:cs="Times New Roman"/>
          <w:sz w:val="20"/>
          <w:szCs w:val="20"/>
        </w:rPr>
        <w:fldChar w:fldCharType="end"/>
      </w:r>
      <w:r>
        <w:rPr>
          <w:rFonts w:ascii="Times New Roman" w:hAnsi="Times New Roman" w:cs="Times New Roman"/>
          <w:sz w:val="20"/>
          <w:szCs w:val="20"/>
        </w:rPr>
        <w:t xml:space="preserve"> that</w:t>
      </w:r>
      <w:r w:rsidRPr="4D0FACE8">
        <w:rPr>
          <w:rFonts w:ascii="Times New Roman" w:hAnsi="Times New Roman" w:cs="Times New Roman"/>
          <w:sz w:val="20"/>
          <w:szCs w:val="20"/>
        </w:rPr>
        <w:t xml:space="preserve"> relies on JAGS and Stan to estimate models via MCMC</w:t>
      </w:r>
      <w:r>
        <w:rPr>
          <w:rFonts w:ascii="Times New Roman" w:hAnsi="Times New Roman" w:cs="Times New Roman"/>
          <w:sz w:val="20"/>
          <w:szCs w:val="20"/>
        </w:rPr>
        <w:t xml:space="preserve">. </w:t>
      </w:r>
      <w:r w:rsidRPr="4D0FACE8">
        <w:rPr>
          <w:rFonts w:ascii="Times New Roman" w:hAnsi="Times New Roman" w:cs="Times New Roman"/>
          <w:sz w:val="20"/>
          <w:szCs w:val="20"/>
        </w:rPr>
        <w:t>Prior to implementing models, all variables were standardi</w:t>
      </w:r>
      <w:r>
        <w:rPr>
          <w:rFonts w:ascii="Times New Roman" w:hAnsi="Times New Roman" w:cs="Times New Roman"/>
          <w:sz w:val="20"/>
          <w:szCs w:val="20"/>
        </w:rPr>
        <w:t>s</w:t>
      </w:r>
      <w:r w:rsidRPr="4D0FACE8">
        <w:rPr>
          <w:rFonts w:ascii="Times New Roman" w:hAnsi="Times New Roman" w:cs="Times New Roman"/>
          <w:sz w:val="20"/>
          <w:szCs w:val="20"/>
        </w:rPr>
        <w:t>e</w:t>
      </w:r>
      <w:r>
        <w:rPr>
          <w:rFonts w:ascii="Times New Roman" w:hAnsi="Times New Roman" w:cs="Times New Roman"/>
          <w:sz w:val="20"/>
          <w:szCs w:val="20"/>
        </w:rPr>
        <w:t xml:space="preserve">d to prevent excessively large covariates impacting model convergence. </w:t>
      </w:r>
      <w:r w:rsidRPr="4D0FACE8">
        <w:rPr>
          <w:rFonts w:ascii="Times New Roman" w:hAnsi="Times New Roman" w:cs="Times New Roman"/>
          <w:sz w:val="20"/>
          <w:szCs w:val="20"/>
        </w:rPr>
        <w:t>There were no issues with floor or ceiling effects</w:t>
      </w:r>
      <w:r>
        <w:rPr>
          <w:rFonts w:ascii="Times New Roman" w:hAnsi="Times New Roman" w:cs="Times New Roman"/>
          <w:sz w:val="20"/>
          <w:szCs w:val="20"/>
        </w:rPr>
        <w:t xml:space="preserve"> for any of the outcome measures and i</w:t>
      </w:r>
      <w:r w:rsidRPr="00CD53F1">
        <w:rPr>
          <w:rFonts w:ascii="Times New Roman" w:hAnsi="Times New Roman" w:cs="Times New Roman"/>
          <w:color w:val="000000" w:themeColor="text1"/>
          <w:sz w:val="20"/>
          <w:szCs w:val="20"/>
        </w:rPr>
        <w:t>ntra</w:t>
      </w:r>
      <w:r>
        <w:rPr>
          <w:rFonts w:ascii="Times New Roman" w:hAnsi="Times New Roman" w:cs="Times New Roman"/>
          <w:color w:val="000000" w:themeColor="text1"/>
          <w:sz w:val="20"/>
          <w:szCs w:val="20"/>
        </w:rPr>
        <w:t>-cluster</w:t>
      </w:r>
      <w:r w:rsidRPr="00CD53F1">
        <w:rPr>
          <w:rFonts w:ascii="Times New Roman" w:hAnsi="Times New Roman" w:cs="Times New Roman"/>
          <w:color w:val="000000" w:themeColor="text1"/>
          <w:sz w:val="20"/>
          <w:szCs w:val="20"/>
        </w:rPr>
        <w:t xml:space="preserve"> coefficients</w:t>
      </w:r>
      <w:r>
        <w:rPr>
          <w:rFonts w:ascii="Times New Roman" w:hAnsi="Times New Roman" w:cs="Times New Roman"/>
          <w:color w:val="000000" w:themeColor="text1"/>
          <w:sz w:val="20"/>
          <w:szCs w:val="20"/>
        </w:rPr>
        <w:t xml:space="preserve"> </w:t>
      </w:r>
      <w:r w:rsidRPr="00CD53F1">
        <w:rPr>
          <w:rFonts w:ascii="Times New Roman" w:hAnsi="Times New Roman" w:cs="Times New Roman"/>
          <w:color w:val="000000" w:themeColor="text1"/>
          <w:sz w:val="20"/>
          <w:szCs w:val="20"/>
        </w:rPr>
        <w:t>were very small between classroom and other variables (rang</w:t>
      </w:r>
      <w:r>
        <w:rPr>
          <w:rFonts w:ascii="Times New Roman" w:hAnsi="Times New Roman" w:cs="Times New Roman"/>
          <w:color w:val="000000" w:themeColor="text1"/>
          <w:sz w:val="20"/>
          <w:szCs w:val="20"/>
        </w:rPr>
        <w:t>ing</w:t>
      </w:r>
      <w:r w:rsidRPr="00CD53F1">
        <w:rPr>
          <w:rFonts w:ascii="Times New Roman" w:hAnsi="Times New Roman" w:cs="Times New Roman"/>
          <w:color w:val="000000" w:themeColor="text1"/>
          <w:sz w:val="20"/>
          <w:szCs w:val="20"/>
        </w:rPr>
        <w:t xml:space="preserve"> from 0.002 to 0.24</w:t>
      </w:r>
      <w:r>
        <w:rPr>
          <w:rFonts w:ascii="Times New Roman" w:hAnsi="Times New Roman" w:cs="Times New Roman"/>
          <w:color w:val="000000" w:themeColor="text1"/>
          <w:sz w:val="20"/>
          <w:szCs w:val="20"/>
        </w:rPr>
        <w:t xml:space="preserve">; </w:t>
      </w:r>
      <w:bookmarkStart w:id="3" w:name="_GoBack"/>
      <w:r>
        <w:rPr>
          <w:rFonts w:ascii="Times New Roman" w:hAnsi="Times New Roman" w:cs="Times New Roman"/>
          <w:color w:val="000000" w:themeColor="text1"/>
          <w:sz w:val="20"/>
          <w:szCs w:val="20"/>
        </w:rPr>
        <w:t>intra</w:t>
      </w:r>
      <w:bookmarkEnd w:id="3"/>
      <w:r>
        <w:rPr>
          <w:rFonts w:ascii="Times New Roman" w:hAnsi="Times New Roman" w:cs="Times New Roman"/>
          <w:color w:val="000000" w:themeColor="text1"/>
          <w:sz w:val="20"/>
          <w:szCs w:val="20"/>
        </w:rPr>
        <w:t xml:space="preserve">-cluster coefficients compared variance between and within clusters for each Near and Far transfer variable for teacher groups, ignoring treatment groups and timepoint). </w:t>
      </w:r>
    </w:p>
    <w:p w14:paraId="3D13AA33" w14:textId="77777777" w:rsidR="00B93683" w:rsidRPr="00BE7D90" w:rsidRDefault="00B93683" w:rsidP="00B93683">
      <w:pPr>
        <w:ind w:firstLine="720"/>
        <w:jc w:val="both"/>
        <w:rPr>
          <w:rFonts w:ascii="Times New Roman" w:hAnsi="Times New Roman" w:cs="Times New Roman"/>
          <w:sz w:val="20"/>
          <w:szCs w:val="20"/>
        </w:rPr>
      </w:pPr>
      <w:r w:rsidRPr="00C4187D">
        <w:rPr>
          <w:rFonts w:ascii="Times New Roman" w:eastAsia="Times New Roman" w:hAnsi="Times New Roman" w:cs="Times New Roman"/>
          <w:sz w:val="20"/>
          <w:szCs w:val="20"/>
        </w:rPr>
        <w:t xml:space="preserve">Posterior Predictive P-values </w:t>
      </w:r>
      <w:r>
        <w:rPr>
          <w:rFonts w:ascii="Times New Roman" w:eastAsia="Times New Roman" w:hAnsi="Times New Roman" w:cs="Times New Roman"/>
          <w:sz w:val="20"/>
          <w:szCs w:val="20"/>
        </w:rPr>
        <w:t xml:space="preserve">(PPP) were used to assess model fit, with values close to 0.5 indicating good fit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ADDIN EN.CITE &lt;EndNote&gt;&lt;Cite&gt;&lt;Author&gt;Muthén&lt;/Author&gt;&lt;Year&gt;2012&lt;/Year&gt;&lt;RecNum&gt;1235&lt;/RecNum&gt;&lt;DisplayText&gt;[94]&lt;/DisplayText&gt;&lt;record&gt;&lt;rec-number&gt;1235&lt;/rec-number&gt;&lt;foreign-keys&gt;&lt;key app="EN" db-id="x2vvt5t25dzrr2ex0fkvrr2haedevs9sz9d2" timestamp="1671066518"&gt;1235&lt;/key&gt;&lt;/foreign-keys&gt;&lt;ref-type name="Journal Article"&gt;17&lt;/ref-type&gt;&lt;contributors&gt;&lt;authors&gt;&lt;author&gt;Muthén, Bengt&lt;/author&gt;&lt;author&gt;Asparouhov, Tihomir&lt;/author&gt;&lt;/authors&gt;&lt;/contributors&gt;&lt;auth-address&gt;Muthén, Bengt: Muthén &amp;amp; Muthén, 3463 Stoner Avenue, Los Angeles, CA, US, 90066, bmuthen@ucla.edu&lt;/auth-address&gt;&lt;titles&gt;&lt;title&gt;Bayesian structural equation modeling: A more flexible representation of substantive theory&lt;/title&gt;&lt;secondary-title&gt;Psychological Methods&lt;/secondary-title&gt;&lt;/titles&gt;&lt;periodical&gt;&lt;full-title&gt;Psychological Methods&lt;/full-title&gt;&lt;/periodical&gt;&lt;pages&gt;313-335&lt;/pages&gt;&lt;volume&gt;17&lt;/volume&gt;&lt;keywords&gt;&lt;keyword&gt;*Confirmatory Factor Analysis&lt;/keyword&gt;&lt;keyword&gt;*Factor Analysis&lt;/keyword&gt;&lt;keyword&gt;*Markov Chains&lt;/keyword&gt;&lt;keyword&gt;*Statistical Probability&lt;/keyword&gt;&lt;keyword&gt;Structural Equation Modeling&lt;/keyword&gt;&lt;/keywords&gt;&lt;dates&gt;&lt;year&gt;2012&lt;/year&gt;&lt;/dates&gt;&lt;pub-location&gt;US&lt;/pub-location&gt;&lt;publisher&gt;American Psychological Association&lt;/publisher&gt;&lt;isbn&gt;1939-1463(Electronic),1082-989X(Print)&lt;/isbn&gt;&lt;urls&gt;&lt;/urls&gt;&lt;electronic-resource-num&gt;10.1037/a0026802&lt;/electronic-resource-num&gt;&lt;/record&gt;&lt;/Cite&gt;&lt;/EndNote&gt;</w:instrText>
      </w:r>
      <w:r>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[94]</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In addition, all models had issues with neither diagonal nor unrestricted theta covariance matrices., which estimates </w:t>
      </w:r>
      <w:r w:rsidRPr="00C4187D">
        <w:rPr>
          <w:rFonts w:ascii="Times New Roman" w:eastAsia="Times New Roman" w:hAnsi="Times New Roman" w:cs="Times New Roman"/>
          <w:sz w:val="20"/>
          <w:szCs w:val="20"/>
        </w:rPr>
        <w:t>the portion of the</w:t>
      </w:r>
      <w:r>
        <w:rPr>
          <w:rFonts w:ascii="Times New Roman" w:eastAsia="Times New Roman" w:hAnsi="Times New Roman" w:cs="Times New Roman"/>
          <w:sz w:val="20"/>
          <w:szCs w:val="20"/>
        </w:rPr>
        <w:t xml:space="preserve"> variance in the</w:t>
      </w:r>
      <w:r w:rsidRPr="00C4187D">
        <w:rPr>
          <w:rFonts w:ascii="Times New Roman" w:eastAsia="Times New Roman" w:hAnsi="Times New Roman" w:cs="Times New Roman"/>
          <w:sz w:val="20"/>
          <w:szCs w:val="20"/>
        </w:rPr>
        <w:t xml:space="preserve"> observed variable not explained by the latent variables</w:t>
      </w:r>
      <w:r>
        <w:rPr>
          <w:rFonts w:ascii="Times New Roman" w:eastAsia="Times New Roman" w:hAnsi="Times New Roman" w:cs="Times New Roman"/>
          <w:sz w:val="20"/>
          <w:szCs w:val="20"/>
        </w:rPr>
        <w:t xml:space="preserve">. This issue is very complicated to manage in Bayesian models. Given this, Leave-One-Out Information Criterion (LOOIC) was used to compare model fit, rather than Bayes factors, as the former does not rely on estimates of the priors and so is less affected by issues with the theta covariance matrix than the latter. The lower the LOOIC </w:t>
      </w:r>
      <w:r>
        <w:rPr>
          <w:rFonts w:ascii="Times New Roman" w:eastAsia="Times New Roman" w:hAnsi="Times New Roman" w:cs="Times New Roman"/>
          <w:sz w:val="20"/>
          <w:szCs w:val="20"/>
        </w:rPr>
        <w:lastRenderedPageBreak/>
        <w:t>value, the better the model fit. A LOO discrepancy of 2 to 4 can be interpreted as a moderate difference in model fit, while a LOO discrepancy of greater than 4 can be interpreted as a large difference.</w:t>
      </w:r>
    </w:p>
    <w:p w14:paraId="36752DEF" w14:textId="77777777" w:rsidR="00B93683" w:rsidRPr="00BE7D90" w:rsidRDefault="00B93683" w:rsidP="00B93683">
      <w:pPr>
        <w:pStyle w:val="Heading2"/>
      </w:pPr>
      <w:r w:rsidRPr="00BE7D90">
        <w:t>Model implementation</w:t>
      </w:r>
    </w:p>
    <w:p w14:paraId="1B03A412" w14:textId="77777777" w:rsidR="009A1118" w:rsidRDefault="00B93683" w:rsidP="009A1118">
      <w:pPr>
        <w:pStyle w:val="NormalWeb"/>
        <w:spacing w:before="0" w:beforeAutospacing="0" w:after="240" w:afterAutospacing="0" w:line="480" w:lineRule="auto"/>
        <w:ind w:firstLine="720"/>
        <w:jc w:val="both"/>
      </w:pPr>
      <w:r w:rsidRPr="005803D4">
        <w:rPr>
          <w:color w:val="000000"/>
          <w:sz w:val="20"/>
          <w:szCs w:val="20"/>
        </w:rPr>
        <w:t xml:space="preserve">Default priors set by the Stan package in R were used (which are used by </w:t>
      </w:r>
      <w:proofErr w:type="spellStart"/>
      <w:r w:rsidRPr="005803D4">
        <w:rPr>
          <w:color w:val="000000"/>
          <w:sz w:val="20"/>
          <w:szCs w:val="20"/>
        </w:rPr>
        <w:t>blavaan</w:t>
      </w:r>
      <w:proofErr w:type="spellEnd"/>
      <w:r w:rsidRPr="005803D4">
        <w:rPr>
          <w:color w:val="000000"/>
          <w:sz w:val="20"/>
          <w:szCs w:val="20"/>
        </w:rPr>
        <w:t xml:space="preserve">), except for the intercepts of the observed and latent variables, and the precision of the observed variables. The intercepts were set to normal(0,1), as the data were standardised to assist with model convergence. A gamma distribution was set on the precision, with df=0.20,0.5. </w:t>
      </w:r>
    </w:p>
    <w:p w14:paraId="611E01A6" w14:textId="77777777" w:rsidR="009A1118" w:rsidRDefault="00B93683" w:rsidP="009A1118">
      <w:pPr>
        <w:pStyle w:val="NormalWeb"/>
        <w:spacing w:before="0" w:beforeAutospacing="0" w:after="240" w:afterAutospacing="0" w:line="480" w:lineRule="auto"/>
        <w:ind w:firstLine="720"/>
        <w:jc w:val="both"/>
      </w:pPr>
      <w:r w:rsidRPr="005803D4">
        <w:rPr>
          <w:color w:val="000000"/>
          <w:sz w:val="20"/>
          <w:szCs w:val="20"/>
        </w:rPr>
        <w:t>When running the models, three Markov-chains were converged to estimate the posterior probabilities, each with</w:t>
      </w:r>
      <w:r w:rsidRPr="005803D4">
        <w:rPr>
          <w:color w:val="000000"/>
          <w:sz w:val="20"/>
          <w:szCs w:val="20"/>
          <w:shd w:val="clear" w:color="auto" w:fill="FFFFFF"/>
        </w:rPr>
        <w:t xml:space="preserve"> </w:t>
      </w:r>
      <w:r>
        <w:rPr>
          <w:color w:val="000000"/>
          <w:sz w:val="20"/>
          <w:szCs w:val="20"/>
          <w:shd w:val="clear" w:color="auto" w:fill="FFFFFF"/>
        </w:rPr>
        <w:t>6</w:t>
      </w:r>
      <w:r w:rsidRPr="005803D4">
        <w:rPr>
          <w:color w:val="000000"/>
          <w:sz w:val="20"/>
          <w:szCs w:val="20"/>
          <w:shd w:val="clear" w:color="auto" w:fill="FFFFFF"/>
        </w:rPr>
        <w:t xml:space="preserve">,000 </w:t>
      </w:r>
      <w:r w:rsidRPr="005803D4">
        <w:rPr>
          <w:color w:val="000000"/>
          <w:sz w:val="20"/>
          <w:szCs w:val="20"/>
        </w:rPr>
        <w:t xml:space="preserve">iterations, </w:t>
      </w:r>
      <w:r>
        <w:rPr>
          <w:color w:val="000000"/>
          <w:sz w:val="20"/>
          <w:szCs w:val="20"/>
        </w:rPr>
        <w:t>1</w:t>
      </w:r>
      <w:r w:rsidRPr="005803D4">
        <w:rPr>
          <w:color w:val="000000"/>
          <w:sz w:val="20"/>
          <w:szCs w:val="20"/>
        </w:rPr>
        <w:t xml:space="preserve">000 </w:t>
      </w:r>
      <w:proofErr w:type="spellStart"/>
      <w:r w:rsidRPr="005803D4">
        <w:rPr>
          <w:color w:val="000000"/>
          <w:sz w:val="20"/>
          <w:szCs w:val="20"/>
        </w:rPr>
        <w:t>burnins</w:t>
      </w:r>
      <w:proofErr w:type="spellEnd"/>
      <w:r w:rsidRPr="005803D4">
        <w:rPr>
          <w:color w:val="000000"/>
          <w:sz w:val="20"/>
          <w:szCs w:val="20"/>
        </w:rPr>
        <w:t xml:space="preserve">, and thinning of 10 to speed up processing. Convergence was examined with trace plots, Gelman-Rubin and </w:t>
      </w:r>
      <w:proofErr w:type="spellStart"/>
      <w:r w:rsidRPr="005803D4">
        <w:rPr>
          <w:color w:val="000000"/>
          <w:sz w:val="20"/>
          <w:szCs w:val="20"/>
        </w:rPr>
        <w:t>Geweke</w:t>
      </w:r>
      <w:proofErr w:type="spellEnd"/>
      <w:r w:rsidRPr="005803D4">
        <w:rPr>
          <w:color w:val="000000"/>
          <w:sz w:val="20"/>
          <w:szCs w:val="20"/>
        </w:rPr>
        <w:t xml:space="preserve"> diagnostics (the upper limit of the within and between chain variability is around 1, and z-scores for a test of equality of means between the first and last parts of each chain were within +/-1.96), r-hat less than 1.05, effective sample size of at least </w:t>
      </w:r>
      <w:r>
        <w:rPr>
          <w:color w:val="000000"/>
          <w:sz w:val="20"/>
          <w:szCs w:val="20"/>
        </w:rPr>
        <w:t>7</w:t>
      </w:r>
      <w:r w:rsidRPr="005803D4">
        <w:rPr>
          <w:color w:val="000000"/>
          <w:sz w:val="20"/>
          <w:szCs w:val="20"/>
        </w:rPr>
        <w:t xml:space="preserve">00 (i.e. 10% of the iterations), and MCSE less than 10% of the posterior standard deviation. All diagnostic criteria were satisfied, indicating convergence of all models. However, as noted above, all models had issues with a non-diagonal or non-restricted theta covariance matrix (which represents the error variances and covariances in the model) which may impact the estimate of the priors. </w:t>
      </w:r>
      <w:bookmarkStart w:id="4" w:name="_Hlk164599493"/>
    </w:p>
    <w:p w14:paraId="5EE0403A" w14:textId="54306EF8" w:rsidR="009A1118" w:rsidRPr="009A1118" w:rsidRDefault="009A1118" w:rsidP="009A1118">
      <w:pPr>
        <w:pStyle w:val="NormalWeb"/>
        <w:spacing w:before="0" w:beforeAutospacing="0" w:after="240" w:afterAutospacing="0" w:line="480" w:lineRule="auto"/>
        <w:ind w:firstLine="720"/>
        <w:jc w:val="both"/>
      </w:pPr>
      <w:r>
        <w:rPr>
          <w:color w:val="000000"/>
          <w:sz w:val="20"/>
          <w:szCs w:val="20"/>
        </w:rPr>
        <w:t xml:space="preserve">To understand whether the current findings were the product of modelling decisions we also examined latent growth curves as well as hierarchical linear models (Bayesian and Conventional), however the reported results remained the same. </w:t>
      </w:r>
    </w:p>
    <w:bookmarkEnd w:id="4"/>
    <w:p w14:paraId="4AE5DB8E" w14:textId="77777777" w:rsidR="00661DF3" w:rsidRDefault="00BF1B28" w:rsidP="00BF1B28">
      <w:pPr>
        <w:tabs>
          <w:tab w:val="left" w:pos="6798"/>
        </w:tabs>
      </w:pPr>
      <w:r>
        <w:tab/>
      </w:r>
    </w:p>
    <w:sectPr w:rsidR="00661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B25FE"/>
    <w:multiLevelType w:val="hybridMultilevel"/>
    <w:tmpl w:val="58CC06FE"/>
    <w:lvl w:ilvl="0" w:tplc="0C09000F">
      <w:start w:val="1"/>
      <w:numFmt w:val="decimal"/>
      <w:lvlText w:val="%1."/>
      <w:lvlJc w:val="left"/>
      <w:pPr>
        <w:ind w:left="786" w:hanging="360"/>
      </w:p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83"/>
    <w:rsid w:val="0018739F"/>
    <w:rsid w:val="00532E15"/>
    <w:rsid w:val="006A5358"/>
    <w:rsid w:val="00764417"/>
    <w:rsid w:val="00915468"/>
    <w:rsid w:val="009A1118"/>
    <w:rsid w:val="00B93683"/>
    <w:rsid w:val="00BF1B28"/>
    <w:rsid w:val="00C70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0B6E"/>
  <w15:chartTrackingRefBased/>
  <w15:docId w15:val="{754C49BC-BCC3-4553-B7AE-2F47C784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683"/>
    <w:pPr>
      <w:spacing w:after="240" w:line="480" w:lineRule="auto"/>
      <w:ind w:firstLine="360"/>
    </w:pPr>
    <w:rPr>
      <w:rFonts w:eastAsiaTheme="minorEastAsia"/>
      <w:lang w:val="en-GB"/>
    </w:rPr>
  </w:style>
  <w:style w:type="paragraph" w:styleId="Heading1">
    <w:name w:val="heading 1"/>
    <w:basedOn w:val="Normal"/>
    <w:next w:val="Normal"/>
    <w:link w:val="Heading1Char"/>
    <w:uiPriority w:val="9"/>
    <w:qFormat/>
    <w:rsid w:val="00B93683"/>
    <w:pPr>
      <w:spacing w:after="0"/>
      <w:ind w:firstLine="0"/>
      <w:jc w:val="center"/>
      <w:outlineLvl w:val="0"/>
    </w:pPr>
    <w:rPr>
      <w:rFonts w:ascii="Times New Roman" w:eastAsiaTheme="majorEastAsia" w:hAnsi="Times New Roman" w:cs="Times New Roman"/>
      <w:b/>
      <w:bCs/>
      <w:iCs/>
      <w:sz w:val="20"/>
      <w:szCs w:val="20"/>
    </w:rPr>
  </w:style>
  <w:style w:type="paragraph" w:styleId="Heading2">
    <w:name w:val="heading 2"/>
    <w:basedOn w:val="Normal"/>
    <w:next w:val="Normal"/>
    <w:link w:val="Heading2Char"/>
    <w:uiPriority w:val="9"/>
    <w:unhideWhenUsed/>
    <w:qFormat/>
    <w:rsid w:val="00B93683"/>
    <w:pPr>
      <w:spacing w:after="0"/>
      <w:ind w:firstLine="0"/>
      <w:outlineLvl w:val="1"/>
    </w:pPr>
    <w:rPr>
      <w:rFonts w:ascii="Times New Roman" w:hAnsi="Times New Roman" w:cs="Times New Roman"/>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683"/>
    <w:rPr>
      <w:rFonts w:ascii="Times New Roman" w:eastAsiaTheme="majorEastAsia" w:hAnsi="Times New Roman" w:cs="Times New Roman"/>
      <w:b/>
      <w:bCs/>
      <w:iCs/>
      <w:sz w:val="20"/>
      <w:szCs w:val="20"/>
      <w:lang w:val="en-GB"/>
    </w:rPr>
  </w:style>
  <w:style w:type="character" w:customStyle="1" w:styleId="Heading2Char">
    <w:name w:val="Heading 2 Char"/>
    <w:basedOn w:val="DefaultParagraphFont"/>
    <w:link w:val="Heading2"/>
    <w:uiPriority w:val="9"/>
    <w:rsid w:val="00B93683"/>
    <w:rPr>
      <w:rFonts w:ascii="Times New Roman" w:eastAsiaTheme="minorEastAsia" w:hAnsi="Times New Roman" w:cs="Times New Roman"/>
      <w:b/>
      <w:bCs/>
      <w:i/>
      <w:iCs/>
      <w:sz w:val="20"/>
      <w:szCs w:val="20"/>
      <w:lang w:val="en-GB"/>
    </w:rPr>
  </w:style>
  <w:style w:type="character" w:styleId="Hyperlink">
    <w:name w:val="Hyperlink"/>
    <w:basedOn w:val="DefaultParagraphFont"/>
    <w:uiPriority w:val="99"/>
    <w:unhideWhenUsed/>
    <w:rsid w:val="00B93683"/>
    <w:rPr>
      <w:color w:val="0563C1" w:themeColor="hyperlink"/>
      <w:u w:val="single"/>
    </w:rPr>
  </w:style>
  <w:style w:type="paragraph" w:styleId="NormalWeb">
    <w:name w:val="Normal (Web)"/>
    <w:basedOn w:val="Normal"/>
    <w:uiPriority w:val="99"/>
    <w:unhideWhenUsed/>
    <w:rsid w:val="00B93683"/>
    <w:pPr>
      <w:spacing w:before="100" w:beforeAutospacing="1" w:after="100" w:afterAutospacing="1" w:line="240" w:lineRule="auto"/>
      <w:ind w:firstLine="0"/>
    </w:pPr>
    <w:rPr>
      <w:rFonts w:ascii="Times New Roman" w:eastAsia="Times New Roman" w:hAnsi="Times New Roman" w:cs="Times New Roman"/>
      <w:sz w:val="24"/>
      <w:szCs w:val="24"/>
      <w:lang w:val="en-AU" w:eastAsia="en-GB"/>
    </w:rPr>
  </w:style>
  <w:style w:type="paragraph" w:customStyle="1" w:styleId="pf0">
    <w:name w:val="pf0"/>
    <w:basedOn w:val="Normal"/>
    <w:rsid w:val="00B93683"/>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customStyle="1" w:styleId="cf01">
    <w:name w:val="cf01"/>
    <w:basedOn w:val="DefaultParagraphFont"/>
    <w:rsid w:val="00B93683"/>
    <w:rPr>
      <w:rFonts w:ascii="Segoe UI" w:hAnsi="Segoe UI" w:cs="Segoe UI" w:hint="default"/>
      <w:sz w:val="18"/>
      <w:szCs w:val="18"/>
    </w:rPr>
  </w:style>
  <w:style w:type="character" w:customStyle="1" w:styleId="cf11">
    <w:name w:val="cf11"/>
    <w:basedOn w:val="DefaultParagraphFont"/>
    <w:rsid w:val="00B936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49e901-c038-4dd1-9149-04fbfa1716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C52E2F9FAC8E4A97D908A89B500C6C" ma:contentTypeVersion="18" ma:contentTypeDescription="Create a new document." ma:contentTypeScope="" ma:versionID="f5f7e976f7a598a340c2276a982f4c26">
  <xsd:schema xmlns:xsd="http://www.w3.org/2001/XMLSchema" xmlns:xs="http://www.w3.org/2001/XMLSchema" xmlns:p="http://schemas.microsoft.com/office/2006/metadata/properties" xmlns:ns3="c949e901-c038-4dd1-9149-04fbfa1716d7" xmlns:ns4="4c867d9a-97c2-40f7-a544-79c049851ff4" targetNamespace="http://schemas.microsoft.com/office/2006/metadata/properties" ma:root="true" ma:fieldsID="1c723b68add89d03c851389df2f01877" ns3:_="" ns4:_="">
    <xsd:import namespace="c949e901-c038-4dd1-9149-04fbfa1716d7"/>
    <xsd:import namespace="4c867d9a-97c2-40f7-a544-79c049851f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9e901-c038-4dd1-9149-04fbfa171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867d9a-97c2-40f7-a544-79c049851ff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10D920-2375-484A-AF36-4F27843B39A0}">
  <ds:schemaRefs>
    <ds:schemaRef ds:uri="c949e901-c038-4dd1-9149-04fbfa1716d7"/>
    <ds:schemaRef ds:uri="http://purl.org/dc/terms/"/>
    <ds:schemaRef ds:uri="http://schemas.microsoft.com/office/2006/documentManagement/types"/>
    <ds:schemaRef ds:uri="http://schemas.openxmlformats.org/package/2006/metadata/core-properties"/>
    <ds:schemaRef ds:uri="4c867d9a-97c2-40f7-a544-79c049851ff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86D0BC7-2E44-43F8-8BEE-02F5A8D39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9e901-c038-4dd1-9149-04fbfa1716d7"/>
    <ds:schemaRef ds:uri="4c867d9a-97c2-40f7-a544-79c049851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98CBC-5D1A-4436-A3A0-41D3B4DE2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2540</Words>
  <Characters>14480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Kirk</dc:creator>
  <cp:keywords/>
  <dc:description/>
  <cp:lastModifiedBy>Hannah Kirk</cp:lastModifiedBy>
  <cp:revision>4</cp:revision>
  <dcterms:created xsi:type="dcterms:W3CDTF">2024-04-09T10:24:00Z</dcterms:created>
  <dcterms:modified xsi:type="dcterms:W3CDTF">2024-04-22T14:30:00Z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0x0101006FC52E2F9FAC8E4A97D908A89B500C6C</vt:lpwstr>
  </property>
</Properties>
</file>