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C7A98" w14:textId="798E21E3" w:rsidR="003361C3" w:rsidRPr="003C7219" w:rsidRDefault="009721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C7219">
        <w:rPr>
          <w:rFonts w:ascii="Times New Roman" w:hAnsi="Times New Roman" w:cs="Times New Roman"/>
          <w:sz w:val="24"/>
          <w:szCs w:val="24"/>
          <w:lang w:val="en-US"/>
        </w:rPr>
        <w:t xml:space="preserve">Supplementary Material </w:t>
      </w:r>
    </w:p>
    <w:p w14:paraId="5C157A32" w14:textId="77777777" w:rsidR="00D61455" w:rsidRPr="003C7219" w:rsidRDefault="00D61455" w:rsidP="00D6145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Maturation of human cardiomyocytes derived from induced pluripotent stem cells (iPSC-CMs) on polycaprolactone and polyurethane nanofibrous mats</w:t>
      </w:r>
    </w:p>
    <w:p w14:paraId="0F252C76" w14:textId="77777777" w:rsidR="004C76DE" w:rsidRPr="003C7219" w:rsidRDefault="004C76DE" w:rsidP="004C76D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Zuzanna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Iwoń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Ewelina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Krogulec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b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Inez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Tarnowska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Iwona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Łopianiak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c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Michał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Wojasiński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c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Agnieszka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Dobrzyń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b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Elżbieta</w:t>
      </w:r>
      <w:proofErr w:type="spellEnd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t>Jastrzębska</w:t>
      </w:r>
      <w:r w:rsidRPr="003C72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a,d</w:t>
      </w:r>
      <w:proofErr w:type="spellEnd"/>
    </w:p>
    <w:p w14:paraId="202772F3" w14:textId="77777777" w:rsidR="004C76DE" w:rsidRPr="003C7219" w:rsidRDefault="004C76DE" w:rsidP="004C76DE">
      <w:pPr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  <w:r w:rsidRPr="003C7219">
        <w:rPr>
          <w:rFonts w:ascii="Times New Roman" w:hAnsi="Times New Roman" w:cs="Times New Roman"/>
          <w:i/>
          <w:iCs/>
          <w:vertAlign w:val="superscript"/>
          <w:lang w:val="en-US"/>
        </w:rPr>
        <w:t>a</w:t>
      </w:r>
      <w:r w:rsidRPr="003C7219">
        <w:rPr>
          <w:rFonts w:ascii="Times New Roman" w:hAnsi="Times New Roman" w:cs="Times New Roman"/>
          <w:i/>
          <w:iCs/>
          <w:lang w:val="en-US"/>
        </w:rPr>
        <w:t xml:space="preserve"> Chair of Medical Biotechnology, Faculty of Chemistry, Warsaw University of Technology, Warsaw, Poland</w:t>
      </w:r>
    </w:p>
    <w:p w14:paraId="2471A414" w14:textId="2F6498B8" w:rsidR="004C76DE" w:rsidRPr="003C7219" w:rsidRDefault="004C76DE" w:rsidP="004C76DE">
      <w:pPr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  <w:r w:rsidRPr="003C7219">
        <w:rPr>
          <w:rFonts w:ascii="Times New Roman" w:hAnsi="Times New Roman" w:cs="Times New Roman"/>
          <w:i/>
          <w:iCs/>
          <w:vertAlign w:val="superscript"/>
          <w:lang w:val="en-US"/>
        </w:rPr>
        <w:t>b</w:t>
      </w:r>
      <w:r w:rsidRPr="003C7219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517C13" w:rsidRPr="003C7219">
        <w:rPr>
          <w:rFonts w:ascii="Times New Roman" w:hAnsi="Times New Roman" w:cs="Times New Roman"/>
          <w:i/>
          <w:iCs/>
          <w:lang w:val="en-US"/>
        </w:rPr>
        <w:t>Laboratory of Cell Signaling and Metabolic Disorders, Nencki Institute of Experimental Biology PAS, Warsaw, Poland</w:t>
      </w:r>
    </w:p>
    <w:p w14:paraId="36B057E7" w14:textId="77777777" w:rsidR="004C76DE" w:rsidRPr="003C7219" w:rsidRDefault="004C76DE" w:rsidP="004C76DE">
      <w:pPr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  <w:r w:rsidRPr="003C7219">
        <w:rPr>
          <w:rFonts w:ascii="Times New Roman" w:hAnsi="Times New Roman" w:cs="Times New Roman"/>
          <w:i/>
          <w:iCs/>
          <w:vertAlign w:val="superscript"/>
          <w:lang w:val="en-US"/>
        </w:rPr>
        <w:t>c</w:t>
      </w:r>
      <w:r w:rsidRPr="003C7219">
        <w:rPr>
          <w:rFonts w:ascii="Times New Roman" w:hAnsi="Times New Roman" w:cs="Times New Roman"/>
          <w:i/>
          <w:iCs/>
          <w:lang w:val="en-US"/>
        </w:rPr>
        <w:t xml:space="preserve"> Department of Biotechnology and Bioprocess Engineering, Faculty of Chemical and Process Engineering, Warsaw University of Technology, Warsaw, Poland</w:t>
      </w:r>
    </w:p>
    <w:p w14:paraId="2628FB15" w14:textId="77777777" w:rsidR="004C76DE" w:rsidRPr="003C7219" w:rsidRDefault="004C76DE" w:rsidP="004C76DE">
      <w:pPr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  <w:r w:rsidRPr="003C7219">
        <w:rPr>
          <w:rFonts w:ascii="Times New Roman" w:hAnsi="Times New Roman" w:cs="Times New Roman"/>
          <w:i/>
          <w:iCs/>
          <w:vertAlign w:val="superscript"/>
          <w:lang w:val="en-US"/>
        </w:rPr>
        <w:t>d</w:t>
      </w:r>
      <w:r w:rsidRPr="003C7219">
        <w:rPr>
          <w:rFonts w:ascii="Times New Roman" w:hAnsi="Times New Roman" w:cs="Times New Roman"/>
          <w:i/>
          <w:iCs/>
          <w:lang w:val="en-US"/>
        </w:rPr>
        <w:t xml:space="preserve"> Centre for Advanced Materials and Technologies, CEZAMAT Warsaw University of Technology, Warsaw, Poland </w:t>
      </w:r>
    </w:p>
    <w:p w14:paraId="0D351705" w14:textId="77777777" w:rsidR="004C76DE" w:rsidRPr="003C7219" w:rsidRDefault="004C76DE" w:rsidP="004C76DE">
      <w:pPr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  <w:r w:rsidRPr="003C7219">
        <w:rPr>
          <w:rFonts w:ascii="Times New Roman" w:hAnsi="Times New Roman" w:cs="Times New Roman"/>
          <w:i/>
          <w:iCs/>
          <w:lang w:val="en-US"/>
        </w:rPr>
        <w:t xml:space="preserve">* Corresponding author elzbieta.jastrzebska@pw.edu.pl </w:t>
      </w:r>
      <w:proofErr w:type="spellStart"/>
      <w:r w:rsidRPr="003C7219">
        <w:rPr>
          <w:rFonts w:ascii="Times New Roman" w:hAnsi="Times New Roman" w:cs="Times New Roman"/>
          <w:i/>
          <w:iCs/>
          <w:lang w:val="en-US"/>
        </w:rPr>
        <w:t>Noakowskiego</w:t>
      </w:r>
      <w:proofErr w:type="spellEnd"/>
      <w:r w:rsidRPr="003C7219">
        <w:rPr>
          <w:rFonts w:ascii="Times New Roman" w:hAnsi="Times New Roman" w:cs="Times New Roman"/>
          <w:i/>
          <w:iCs/>
          <w:lang w:val="en-US"/>
        </w:rPr>
        <w:t xml:space="preserve"> 3, 00-664 Warsaw, Poland</w:t>
      </w:r>
    </w:p>
    <w:p w14:paraId="56B76ACA" w14:textId="77777777" w:rsidR="002C2B6E" w:rsidRPr="003C7219" w:rsidRDefault="002C2B6E" w:rsidP="002C2B6E">
      <w:pPr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</w:p>
    <w:p w14:paraId="4804591C" w14:textId="33F5A2B1" w:rsidR="002C2B6E" w:rsidRPr="003C7219" w:rsidRDefault="002C2B6E" w:rsidP="002C2B6E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C7219">
        <w:rPr>
          <w:rFonts w:ascii="Times New Roman" w:hAnsi="Times New Roman" w:cs="Times New Roman"/>
          <w:b/>
          <w:bCs/>
          <w:lang w:val="en-US"/>
        </w:rPr>
        <w:t>A real-time reverse transcription-quantitative polymerase chain reaction</w:t>
      </w:r>
    </w:p>
    <w:p w14:paraId="078FEEB5" w14:textId="74A96DD4" w:rsidR="002C2B6E" w:rsidRPr="003C7219" w:rsidRDefault="002C2B6E" w:rsidP="002C2B6E">
      <w:pPr>
        <w:spacing w:line="276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3C7219">
        <w:rPr>
          <w:rFonts w:ascii="Times New Roman" w:hAnsi="Times New Roman" w:cs="Times New Roman"/>
          <w:lang w:val="en-US"/>
        </w:rPr>
        <w:t>Specific cardiac genes whose expression changes with iPSC-CMs maturation were selected for study (Table S1).</w:t>
      </w:r>
    </w:p>
    <w:p w14:paraId="6AA361E2" w14:textId="540DCD9B" w:rsidR="002C2B6E" w:rsidRPr="003C7219" w:rsidRDefault="002C2B6E" w:rsidP="002C2B6E">
      <w:pPr>
        <w:pStyle w:val="Caption"/>
        <w:keepNext/>
        <w:rPr>
          <w:color w:val="auto"/>
          <w:lang w:val="en-US"/>
        </w:rPr>
      </w:pPr>
      <w:r w:rsidRPr="003C7219">
        <w:rPr>
          <w:color w:val="auto"/>
          <w:lang w:val="en-US"/>
        </w:rPr>
        <w:t xml:space="preserve">Table S </w:t>
      </w:r>
      <w:r w:rsidRPr="003C7219">
        <w:rPr>
          <w:color w:val="auto"/>
        </w:rPr>
        <w:fldChar w:fldCharType="begin"/>
      </w:r>
      <w:r w:rsidRPr="003C7219">
        <w:rPr>
          <w:color w:val="auto"/>
          <w:lang w:val="en-US"/>
        </w:rPr>
        <w:instrText xml:space="preserve"> SEQ Table_S \* ARABIC </w:instrText>
      </w:r>
      <w:r w:rsidRPr="003C7219">
        <w:rPr>
          <w:color w:val="auto"/>
        </w:rPr>
        <w:fldChar w:fldCharType="separate"/>
      </w:r>
      <w:r w:rsidRPr="003C7219">
        <w:rPr>
          <w:noProof/>
          <w:color w:val="auto"/>
          <w:lang w:val="en-US"/>
        </w:rPr>
        <w:t>1</w:t>
      </w:r>
      <w:r w:rsidRPr="003C7219">
        <w:rPr>
          <w:color w:val="auto"/>
        </w:rPr>
        <w:fldChar w:fldCharType="end"/>
      </w:r>
      <w:r w:rsidRPr="003C7219">
        <w:rPr>
          <w:color w:val="auto"/>
          <w:lang w:val="en-US"/>
        </w:rPr>
        <w:t xml:space="preserve"> The sequence of primer used.</w:t>
      </w:r>
    </w:p>
    <w:tbl>
      <w:tblPr>
        <w:tblStyle w:val="TableGrid"/>
        <w:tblpPr w:leftFromText="180" w:rightFromText="180" w:vertAnchor="text" w:tblpXSpec="center" w:tblpY="1"/>
        <w:tblOverlap w:val="never"/>
        <w:tblW w:w="9493" w:type="dxa"/>
        <w:tblLook w:val="04A0" w:firstRow="1" w:lastRow="0" w:firstColumn="1" w:lastColumn="0" w:noHBand="0" w:noVBand="1"/>
      </w:tblPr>
      <w:tblGrid>
        <w:gridCol w:w="2127"/>
        <w:gridCol w:w="3551"/>
        <w:gridCol w:w="3815"/>
      </w:tblGrid>
      <w:tr w:rsidR="003C7219" w:rsidRPr="003C7219" w14:paraId="0B6B0A28" w14:textId="77777777" w:rsidTr="00B60F4E">
        <w:tc>
          <w:tcPr>
            <w:tcW w:w="2127" w:type="dxa"/>
          </w:tcPr>
          <w:p w14:paraId="284C5042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C7219">
              <w:rPr>
                <w:rFonts w:cstheme="minorHAnsi"/>
                <w:sz w:val="18"/>
                <w:szCs w:val="18"/>
                <w:lang w:val="en-US"/>
              </w:rPr>
              <w:t>Gene</w:t>
            </w:r>
          </w:p>
        </w:tc>
        <w:tc>
          <w:tcPr>
            <w:tcW w:w="3551" w:type="dxa"/>
          </w:tcPr>
          <w:p w14:paraId="12AFCA5C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C7219">
              <w:rPr>
                <w:rFonts w:cstheme="minorHAnsi"/>
                <w:sz w:val="18"/>
                <w:szCs w:val="18"/>
                <w:lang w:val="en-US"/>
              </w:rPr>
              <w:t>Forward Primer</w:t>
            </w:r>
          </w:p>
        </w:tc>
        <w:tc>
          <w:tcPr>
            <w:tcW w:w="3815" w:type="dxa"/>
          </w:tcPr>
          <w:p w14:paraId="7CF2D890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C7219">
              <w:rPr>
                <w:rFonts w:cstheme="minorHAnsi"/>
                <w:sz w:val="18"/>
                <w:szCs w:val="18"/>
                <w:lang w:val="en-US"/>
              </w:rPr>
              <w:t>Reverse Primer</w:t>
            </w:r>
          </w:p>
        </w:tc>
      </w:tr>
      <w:tr w:rsidR="003C7219" w:rsidRPr="003C7219" w14:paraId="260C02C9" w14:textId="77777777" w:rsidTr="00B60F4E">
        <w:tc>
          <w:tcPr>
            <w:tcW w:w="2127" w:type="dxa"/>
          </w:tcPr>
          <w:p w14:paraId="459A06DA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TNNT2</w:t>
            </w:r>
          </w:p>
        </w:tc>
        <w:tc>
          <w:tcPr>
            <w:tcW w:w="3551" w:type="dxa"/>
          </w:tcPr>
          <w:p w14:paraId="4105B116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TTCACCAAAGATCTGCTCCTCGCT</w:t>
            </w:r>
          </w:p>
        </w:tc>
        <w:tc>
          <w:tcPr>
            <w:tcW w:w="3815" w:type="dxa"/>
          </w:tcPr>
          <w:p w14:paraId="1267754F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TTATTACTGGTGTGGAGTGGGTGTGG</w:t>
            </w:r>
          </w:p>
        </w:tc>
      </w:tr>
      <w:tr w:rsidR="003C7219" w:rsidRPr="003C7219" w14:paraId="566A501C" w14:textId="77777777" w:rsidTr="00B60F4E">
        <w:tc>
          <w:tcPr>
            <w:tcW w:w="2127" w:type="dxa"/>
          </w:tcPr>
          <w:p w14:paraId="35D39D81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TNNI3</w:t>
            </w:r>
          </w:p>
        </w:tc>
        <w:tc>
          <w:tcPr>
            <w:tcW w:w="3551" w:type="dxa"/>
          </w:tcPr>
          <w:p w14:paraId="124E3874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CGTGTGGACAAGGTGGATGAAG</w:t>
            </w:r>
          </w:p>
        </w:tc>
        <w:tc>
          <w:tcPr>
            <w:tcW w:w="3815" w:type="dxa"/>
          </w:tcPr>
          <w:p w14:paraId="5DD884C5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GCCGCTTAAACTTGCCTCGAAG</w:t>
            </w:r>
          </w:p>
        </w:tc>
      </w:tr>
      <w:tr w:rsidR="003C7219" w:rsidRPr="003C7219" w14:paraId="320C3A5F" w14:textId="77777777" w:rsidTr="00B60F4E">
        <w:tc>
          <w:tcPr>
            <w:tcW w:w="2127" w:type="dxa"/>
          </w:tcPr>
          <w:p w14:paraId="47901425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ACTN2</w:t>
            </w:r>
          </w:p>
        </w:tc>
        <w:tc>
          <w:tcPr>
            <w:tcW w:w="3551" w:type="dxa"/>
          </w:tcPr>
          <w:p w14:paraId="7D619E56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GTGAACACCCCTAAACCCGA</w:t>
            </w:r>
          </w:p>
        </w:tc>
        <w:tc>
          <w:tcPr>
            <w:tcW w:w="3815" w:type="dxa"/>
          </w:tcPr>
          <w:p w14:paraId="250453B6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AGGGGGATCCTTCCACAGAG</w:t>
            </w:r>
          </w:p>
        </w:tc>
      </w:tr>
      <w:tr w:rsidR="003C7219" w:rsidRPr="003C7219" w14:paraId="647979B9" w14:textId="77777777" w:rsidTr="00B60F4E">
        <w:tc>
          <w:tcPr>
            <w:tcW w:w="2127" w:type="dxa"/>
          </w:tcPr>
          <w:p w14:paraId="1A280C68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MYL2</w:t>
            </w:r>
          </w:p>
        </w:tc>
        <w:tc>
          <w:tcPr>
            <w:tcW w:w="3551" w:type="dxa"/>
          </w:tcPr>
          <w:p w14:paraId="0D70A69C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CGGAGAGGTTTTCCAAGGAGGA</w:t>
            </w:r>
          </w:p>
        </w:tc>
        <w:tc>
          <w:tcPr>
            <w:tcW w:w="3815" w:type="dxa"/>
          </w:tcPr>
          <w:p w14:paraId="35B46452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CTCTTCTCCGTGGGTGATGATG</w:t>
            </w:r>
          </w:p>
        </w:tc>
      </w:tr>
      <w:tr w:rsidR="003C7219" w:rsidRPr="003C7219" w14:paraId="1CD84E79" w14:textId="77777777" w:rsidTr="00B60F4E">
        <w:tc>
          <w:tcPr>
            <w:tcW w:w="2127" w:type="dxa"/>
          </w:tcPr>
          <w:p w14:paraId="233FA98B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SCN5A</w:t>
            </w:r>
          </w:p>
        </w:tc>
        <w:tc>
          <w:tcPr>
            <w:tcW w:w="3551" w:type="dxa"/>
          </w:tcPr>
          <w:p w14:paraId="5C57EC39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AGGTCGGAAACCTGGTAAGG</w:t>
            </w:r>
          </w:p>
        </w:tc>
        <w:tc>
          <w:tcPr>
            <w:tcW w:w="3815" w:type="dxa"/>
          </w:tcPr>
          <w:p w14:paraId="340E1F6C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TCCTTACCCATGAAGGCTGTG</w:t>
            </w:r>
          </w:p>
        </w:tc>
      </w:tr>
      <w:tr w:rsidR="003C7219" w:rsidRPr="003C7219" w14:paraId="5B80FB04" w14:textId="77777777" w:rsidTr="00B60F4E">
        <w:tc>
          <w:tcPr>
            <w:tcW w:w="2127" w:type="dxa"/>
          </w:tcPr>
          <w:p w14:paraId="31474270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SERCA2</w:t>
            </w:r>
          </w:p>
        </w:tc>
        <w:tc>
          <w:tcPr>
            <w:tcW w:w="3551" w:type="dxa"/>
          </w:tcPr>
          <w:p w14:paraId="15CC8B4C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GGACTTTGAAGGCGTGGATTGTG</w:t>
            </w:r>
          </w:p>
        </w:tc>
        <w:tc>
          <w:tcPr>
            <w:tcW w:w="3815" w:type="dxa"/>
          </w:tcPr>
          <w:p w14:paraId="63089675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CTCAGCAAGGACTGGTTTTCGG</w:t>
            </w:r>
          </w:p>
        </w:tc>
      </w:tr>
      <w:tr w:rsidR="003C7219" w:rsidRPr="003C7219" w14:paraId="7724B673" w14:textId="77777777" w:rsidTr="00B60F4E">
        <w:tc>
          <w:tcPr>
            <w:tcW w:w="2127" w:type="dxa"/>
          </w:tcPr>
          <w:p w14:paraId="1191EA1B" w14:textId="3FFEFB8C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GATA-4</w:t>
            </w:r>
          </w:p>
        </w:tc>
        <w:tc>
          <w:tcPr>
            <w:tcW w:w="3551" w:type="dxa"/>
          </w:tcPr>
          <w:p w14:paraId="25CED5AB" w14:textId="0CCF29C2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TAGACCGTGGGTTTTGCATTG</w:t>
            </w:r>
          </w:p>
        </w:tc>
        <w:tc>
          <w:tcPr>
            <w:tcW w:w="3815" w:type="dxa"/>
          </w:tcPr>
          <w:p w14:paraId="0AE7BC05" w14:textId="01A31D20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CATCCAGGTACATGGCAAACAG</w:t>
            </w:r>
          </w:p>
        </w:tc>
      </w:tr>
      <w:tr w:rsidR="003C7219" w:rsidRPr="003C7219" w14:paraId="1592CBB0" w14:textId="77777777" w:rsidTr="00B60F4E">
        <w:tc>
          <w:tcPr>
            <w:tcW w:w="2127" w:type="dxa"/>
          </w:tcPr>
          <w:p w14:paraId="0A0325B2" w14:textId="105CDAC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NKX2.5</w:t>
            </w:r>
          </w:p>
        </w:tc>
        <w:tc>
          <w:tcPr>
            <w:tcW w:w="3551" w:type="dxa"/>
          </w:tcPr>
          <w:p w14:paraId="35C9CBF8" w14:textId="1D4F8FF3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ACCCTGAGTCCCCTGGATTT</w:t>
            </w:r>
          </w:p>
        </w:tc>
        <w:tc>
          <w:tcPr>
            <w:tcW w:w="3815" w:type="dxa"/>
          </w:tcPr>
          <w:p w14:paraId="19A2CCAD" w14:textId="6C41FDC0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TCACTCATTGCACGCTGCAT</w:t>
            </w:r>
          </w:p>
        </w:tc>
      </w:tr>
      <w:tr w:rsidR="003C7219" w:rsidRPr="003C7219" w14:paraId="65A4E729" w14:textId="77777777" w:rsidTr="00B60F4E">
        <w:tc>
          <w:tcPr>
            <w:tcW w:w="2127" w:type="dxa"/>
          </w:tcPr>
          <w:p w14:paraId="2C5447E7" w14:textId="3FB49F3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 xml:space="preserve">Human, </w:t>
            </w:r>
            <w:proofErr w:type="spellStart"/>
            <w:r w:rsidRPr="003C7219">
              <w:rPr>
                <w:rFonts w:cstheme="minorHAnsi"/>
                <w:sz w:val="18"/>
                <w:szCs w:val="18"/>
              </w:rPr>
              <w:t>cTNNI</w:t>
            </w:r>
            <w:proofErr w:type="spellEnd"/>
          </w:p>
        </w:tc>
        <w:tc>
          <w:tcPr>
            <w:tcW w:w="3551" w:type="dxa"/>
          </w:tcPr>
          <w:p w14:paraId="385742FC" w14:textId="33B16376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CCAACTACCGCGCTTATGC</w:t>
            </w:r>
          </w:p>
        </w:tc>
        <w:tc>
          <w:tcPr>
            <w:tcW w:w="3815" w:type="dxa"/>
          </w:tcPr>
          <w:p w14:paraId="06B194C4" w14:textId="332FA00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CTCGCTCCAGCTCTTGCTTT</w:t>
            </w:r>
          </w:p>
        </w:tc>
      </w:tr>
      <w:tr w:rsidR="003C7219" w:rsidRPr="003C7219" w14:paraId="5D7D3DC6" w14:textId="77777777" w:rsidTr="00B60F4E">
        <w:tc>
          <w:tcPr>
            <w:tcW w:w="2127" w:type="dxa"/>
          </w:tcPr>
          <w:p w14:paraId="7E2AB399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Human, GAPDH</w:t>
            </w:r>
          </w:p>
        </w:tc>
        <w:tc>
          <w:tcPr>
            <w:tcW w:w="3551" w:type="dxa"/>
          </w:tcPr>
          <w:p w14:paraId="4738EB0B" w14:textId="77777777" w:rsidR="002C2B6E" w:rsidRPr="003C7219" w:rsidRDefault="002C2B6E" w:rsidP="00B60F4E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GTGGACCTGACCTGCCGTCT</w:t>
            </w:r>
          </w:p>
        </w:tc>
        <w:tc>
          <w:tcPr>
            <w:tcW w:w="3815" w:type="dxa"/>
          </w:tcPr>
          <w:p w14:paraId="6D9DE594" w14:textId="77777777" w:rsidR="002C2B6E" w:rsidRPr="003C7219" w:rsidRDefault="002C2B6E" w:rsidP="00B60F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C7219">
              <w:rPr>
                <w:rFonts w:cstheme="minorHAnsi"/>
                <w:sz w:val="18"/>
                <w:szCs w:val="18"/>
              </w:rPr>
              <w:t>GGAGGAGTGGGTGTCGCTGT</w:t>
            </w:r>
          </w:p>
        </w:tc>
      </w:tr>
    </w:tbl>
    <w:p w14:paraId="03DF4AFC" w14:textId="77777777" w:rsidR="002C2B6E" w:rsidRPr="003C7219" w:rsidRDefault="002C2B6E">
      <w:pPr>
        <w:rPr>
          <w:rFonts w:ascii="Times New Roman" w:hAnsi="Times New Roman" w:cs="Times New Roman"/>
          <w:sz w:val="24"/>
          <w:szCs w:val="24"/>
        </w:rPr>
      </w:pPr>
    </w:p>
    <w:p w14:paraId="009B6E05" w14:textId="70A822F4" w:rsidR="001A218E" w:rsidRPr="003C7219" w:rsidRDefault="000D102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C7219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column"/>
      </w:r>
      <w:r w:rsidRPr="003C7219">
        <w:rPr>
          <w:rFonts w:ascii="Times New Roman" w:hAnsi="Times New Roman" w:cs="Times New Roman"/>
          <w:b/>
          <w:bCs/>
          <w:lang w:val="en-US"/>
        </w:rPr>
        <w:t>iPSC-CMs analysis after differentiation</w:t>
      </w:r>
    </w:p>
    <w:p w14:paraId="71160418" w14:textId="2D27C8BA" w:rsidR="000D102A" w:rsidRPr="003C7219" w:rsidRDefault="0060256B" w:rsidP="00991365">
      <w:pPr>
        <w:keepNext/>
        <w:jc w:val="center"/>
      </w:pPr>
      <w:r w:rsidRPr="003C7219">
        <w:rPr>
          <w:noProof/>
          <w:lang w:val="en-US"/>
        </w:rPr>
        <w:drawing>
          <wp:inline distT="0" distB="0" distL="0" distR="0" wp14:anchorId="4EE8F034" wp14:editId="43DA7A56">
            <wp:extent cx="4984694" cy="5386673"/>
            <wp:effectExtent l="0" t="0" r="6985" b="5080"/>
            <wp:docPr id="9692798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694" cy="5386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6E1F" w:rsidRPr="003C7219">
        <w:rPr>
          <w:noProof/>
          <w:lang w:val="en-US"/>
        </w:rPr>
        <w:drawing>
          <wp:inline distT="0" distB="0" distL="0" distR="0" wp14:anchorId="105F7FB4" wp14:editId="6D21C16F">
            <wp:extent cx="5294952" cy="5397385"/>
            <wp:effectExtent l="0" t="0" r="1270" b="0"/>
            <wp:docPr id="38637510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724" cy="540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C1C36" w14:textId="0ABF354D" w:rsidR="00663ABE" w:rsidRPr="003C7219" w:rsidRDefault="000D102A" w:rsidP="000D102A">
      <w:pPr>
        <w:pStyle w:val="Caption"/>
        <w:rPr>
          <w:color w:val="auto"/>
          <w:lang w:val="en-US"/>
        </w:rPr>
      </w:pPr>
      <w:r w:rsidRPr="003C7219">
        <w:rPr>
          <w:color w:val="auto"/>
          <w:lang w:val="en-US"/>
        </w:rPr>
        <w:t xml:space="preserve">Figure S </w:t>
      </w:r>
      <w:r w:rsidRPr="003C7219">
        <w:rPr>
          <w:color w:val="auto"/>
        </w:rPr>
        <w:fldChar w:fldCharType="begin"/>
      </w:r>
      <w:r w:rsidRPr="003C7219">
        <w:rPr>
          <w:color w:val="auto"/>
          <w:lang w:val="en-US"/>
        </w:rPr>
        <w:instrText xml:space="preserve"> SEQ Figure_S \* ARABIC </w:instrText>
      </w:r>
      <w:r w:rsidRPr="003C7219">
        <w:rPr>
          <w:color w:val="auto"/>
        </w:rPr>
        <w:fldChar w:fldCharType="separate"/>
      </w:r>
      <w:r w:rsidR="00526D58" w:rsidRPr="003C7219">
        <w:rPr>
          <w:noProof/>
          <w:color w:val="auto"/>
          <w:lang w:val="en-US"/>
        </w:rPr>
        <w:t>1</w:t>
      </w:r>
      <w:r w:rsidRPr="003C7219">
        <w:rPr>
          <w:color w:val="auto"/>
        </w:rPr>
        <w:fldChar w:fldCharType="end"/>
      </w:r>
      <w:r w:rsidRPr="003C7219">
        <w:rPr>
          <w:color w:val="auto"/>
          <w:lang w:val="en-US"/>
        </w:rPr>
        <w:t xml:space="preserve"> (A) Percentage of cardiac troponin T - positive cardiomyocytes present at day 15 after differentiation via </w:t>
      </w:r>
      <w:proofErr w:type="spellStart"/>
      <w:r w:rsidRPr="003C7219">
        <w:rPr>
          <w:color w:val="auto"/>
          <w:lang w:val="en-US"/>
        </w:rPr>
        <w:t>GiWi</w:t>
      </w:r>
      <w:proofErr w:type="spellEnd"/>
      <w:r w:rsidRPr="003C7219">
        <w:rPr>
          <w:color w:val="auto"/>
          <w:lang w:val="en-US"/>
        </w:rPr>
        <w:t xml:space="preserve"> protocol</w:t>
      </w:r>
      <w:r w:rsidR="0060256B" w:rsidRPr="003C7219">
        <w:rPr>
          <w:color w:val="auto"/>
          <w:lang w:val="en-US"/>
        </w:rPr>
        <w:t xml:space="preserve"> with isotype data</w:t>
      </w:r>
      <w:r w:rsidRPr="003C7219">
        <w:rPr>
          <w:color w:val="auto"/>
          <w:lang w:val="en-US"/>
        </w:rPr>
        <w:t xml:space="preserve">. (B) Percentage of </w:t>
      </w:r>
      <w:r w:rsidRPr="003C7219">
        <w:rPr>
          <w:color w:val="auto"/>
        </w:rPr>
        <w:t>α</w:t>
      </w:r>
      <w:r w:rsidRPr="003C7219">
        <w:rPr>
          <w:color w:val="auto"/>
          <w:lang w:val="en-US"/>
        </w:rPr>
        <w:t xml:space="preserve">-actinin - positive cardiomyocytes present at day 15 after differentiation via </w:t>
      </w:r>
      <w:proofErr w:type="spellStart"/>
      <w:r w:rsidRPr="003C7219">
        <w:rPr>
          <w:color w:val="auto"/>
          <w:lang w:val="en-US"/>
        </w:rPr>
        <w:t>GiWi</w:t>
      </w:r>
      <w:proofErr w:type="spellEnd"/>
      <w:r w:rsidRPr="003C7219">
        <w:rPr>
          <w:color w:val="auto"/>
          <w:lang w:val="en-US"/>
        </w:rPr>
        <w:t xml:space="preserve"> protocol</w:t>
      </w:r>
      <w:r w:rsidR="0060256B" w:rsidRPr="003C7219">
        <w:rPr>
          <w:color w:val="auto"/>
          <w:lang w:val="en-US"/>
        </w:rPr>
        <w:t xml:space="preserve"> with isotype data</w:t>
      </w:r>
      <w:r w:rsidRPr="003C7219">
        <w:rPr>
          <w:color w:val="auto"/>
          <w:lang w:val="en-US"/>
        </w:rPr>
        <w:t xml:space="preserve">. The percentage of </w:t>
      </w:r>
      <w:r w:rsidR="0060256B" w:rsidRPr="003C7219">
        <w:rPr>
          <w:color w:val="auto"/>
          <w:lang w:val="en-US"/>
        </w:rPr>
        <w:t>positive</w:t>
      </w:r>
      <w:r w:rsidRPr="003C7219">
        <w:rPr>
          <w:color w:val="auto"/>
          <w:lang w:val="en-US"/>
        </w:rPr>
        <w:t xml:space="preserve"> cells was calculated by flow cytometric analysis of at least 20,000 total cells.</w:t>
      </w:r>
      <w:bookmarkStart w:id="0" w:name="_Hlk154149341"/>
      <w:r w:rsidR="00663ABE" w:rsidRPr="003C7219">
        <w:rPr>
          <w:color w:val="auto"/>
          <w:lang w:val="en-US"/>
        </w:rPr>
        <w:br w:type="page"/>
      </w:r>
    </w:p>
    <w:bookmarkEnd w:id="0"/>
    <w:p w14:paraId="690DCA8B" w14:textId="77777777" w:rsidR="000D102A" w:rsidRPr="003C7219" w:rsidRDefault="00663ABE" w:rsidP="000D102A">
      <w:pPr>
        <w:keepNext/>
        <w:jc w:val="center"/>
      </w:pPr>
      <w:r w:rsidRPr="003C7219">
        <w:rPr>
          <w:noProof/>
          <w:lang w:val="en-US"/>
        </w:rPr>
        <w:drawing>
          <wp:inline distT="0" distB="0" distL="0" distR="0" wp14:anchorId="104E1956" wp14:editId="1F3319AC">
            <wp:extent cx="5445202" cy="2880000"/>
            <wp:effectExtent l="0" t="0" r="317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rt-pc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73"/>
                    <a:stretch/>
                  </pic:blipFill>
                  <pic:spPr bwMode="auto">
                    <a:xfrm>
                      <a:off x="0" y="0"/>
                      <a:ext cx="544520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AC9F3A" w14:textId="341650FC" w:rsidR="00E60494" w:rsidRPr="003C7219" w:rsidRDefault="000D102A" w:rsidP="000D102A">
      <w:pPr>
        <w:pStyle w:val="Caption"/>
        <w:jc w:val="both"/>
        <w:rPr>
          <w:color w:val="auto"/>
          <w:lang w:val="en-US"/>
        </w:rPr>
      </w:pPr>
      <w:r w:rsidRPr="003C7219">
        <w:rPr>
          <w:color w:val="auto"/>
          <w:lang w:val="en-US"/>
        </w:rPr>
        <w:t xml:space="preserve">Figure S </w:t>
      </w:r>
      <w:r w:rsidRPr="003C7219">
        <w:rPr>
          <w:color w:val="auto"/>
        </w:rPr>
        <w:fldChar w:fldCharType="begin"/>
      </w:r>
      <w:r w:rsidRPr="003C7219">
        <w:rPr>
          <w:color w:val="auto"/>
          <w:lang w:val="en-US"/>
        </w:rPr>
        <w:instrText xml:space="preserve"> SEQ Figure_S \* ARABIC </w:instrText>
      </w:r>
      <w:r w:rsidRPr="003C7219">
        <w:rPr>
          <w:color w:val="auto"/>
        </w:rPr>
        <w:fldChar w:fldCharType="separate"/>
      </w:r>
      <w:r w:rsidR="00E379CB" w:rsidRPr="003C7219">
        <w:rPr>
          <w:noProof/>
          <w:color w:val="auto"/>
          <w:lang w:val="en-US"/>
        </w:rPr>
        <w:t>2</w:t>
      </w:r>
      <w:r w:rsidRPr="003C7219">
        <w:rPr>
          <w:color w:val="auto"/>
        </w:rPr>
        <w:fldChar w:fldCharType="end"/>
      </w:r>
      <w:r w:rsidRPr="003C7219">
        <w:rPr>
          <w:color w:val="auto"/>
          <w:lang w:val="en-US"/>
        </w:rPr>
        <w:t xml:space="preserve"> Cardiomyocyte-specific gene expression present at day 20 after cell differentiation. Results of </w:t>
      </w:r>
      <w:proofErr w:type="spellStart"/>
      <w:r w:rsidRPr="003C7219">
        <w:rPr>
          <w:color w:val="auto"/>
          <w:lang w:val="en-US"/>
        </w:rPr>
        <w:t>qRT</w:t>
      </w:r>
      <w:proofErr w:type="spellEnd"/>
      <w:r w:rsidRPr="003C7219">
        <w:rPr>
          <w:color w:val="auto"/>
          <w:lang w:val="en-US"/>
        </w:rPr>
        <w:t xml:space="preserve">-PCR analysis of cardiac troponin I (A) and cardiac-related transcription factors NKX2.5 (B) and GATA4 (C). * - p&lt;0.05 – statistically significant differences were determined by Student's t-test. n=3. </w:t>
      </w:r>
      <w:r w:rsidRPr="003C7219">
        <w:rPr>
          <w:color w:val="auto"/>
        </w:rPr>
        <w:t>Error bars show means ± s.d.</w:t>
      </w:r>
    </w:p>
    <w:p w14:paraId="384070CF" w14:textId="1B34781D" w:rsidR="00E60494" w:rsidRPr="003C7219" w:rsidRDefault="00E6049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C721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E96F500" w14:textId="18116F6D" w:rsidR="000D102A" w:rsidRPr="003C7219" w:rsidRDefault="00D4364B" w:rsidP="000D102A">
      <w:pPr>
        <w:keepNext/>
        <w:jc w:val="center"/>
      </w:pPr>
      <w:r w:rsidRPr="003C7219">
        <w:rPr>
          <w:noProof/>
          <w:lang w:val="en-US"/>
        </w:rPr>
        <w:drawing>
          <wp:inline distT="0" distB="0" distL="0" distR="0" wp14:anchorId="4BCCFE2A" wp14:editId="7FEF3D59">
            <wp:extent cx="5986780" cy="6413500"/>
            <wp:effectExtent l="0" t="0" r="0" b="6350"/>
            <wp:docPr id="20593122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641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CF7E9" w14:textId="600D78E9" w:rsidR="00E60494" w:rsidRPr="003C7219" w:rsidRDefault="000D102A" w:rsidP="000D102A">
      <w:pPr>
        <w:pStyle w:val="Caption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3C7219">
        <w:rPr>
          <w:color w:val="auto"/>
          <w:lang w:val="en-US"/>
        </w:rPr>
        <w:t xml:space="preserve">Figure S </w:t>
      </w:r>
      <w:r w:rsidRPr="003C7219">
        <w:rPr>
          <w:color w:val="auto"/>
        </w:rPr>
        <w:fldChar w:fldCharType="begin"/>
      </w:r>
      <w:r w:rsidRPr="003C7219">
        <w:rPr>
          <w:color w:val="auto"/>
          <w:lang w:val="en-US"/>
        </w:rPr>
        <w:instrText xml:space="preserve"> SEQ Figure_S \* ARABIC </w:instrText>
      </w:r>
      <w:r w:rsidRPr="003C7219">
        <w:rPr>
          <w:color w:val="auto"/>
        </w:rPr>
        <w:fldChar w:fldCharType="separate"/>
      </w:r>
      <w:r w:rsidR="00E379CB" w:rsidRPr="003C7219">
        <w:rPr>
          <w:noProof/>
          <w:color w:val="auto"/>
          <w:lang w:val="en-US"/>
        </w:rPr>
        <w:t>3</w:t>
      </w:r>
      <w:r w:rsidRPr="003C7219">
        <w:rPr>
          <w:color w:val="auto"/>
        </w:rPr>
        <w:fldChar w:fldCharType="end"/>
      </w:r>
      <w:r w:rsidRPr="003C7219">
        <w:rPr>
          <w:color w:val="auto"/>
          <w:lang w:val="en-US"/>
        </w:rPr>
        <w:t xml:space="preserve"> Structural characterization of cardiomyocytes generated from iPSCs. Immunostaining at day 30 for α-</w:t>
      </w:r>
      <w:proofErr w:type="spellStart"/>
      <w:r w:rsidRPr="003C7219">
        <w:rPr>
          <w:color w:val="auto"/>
          <w:lang w:val="en-US"/>
        </w:rPr>
        <w:t>actinin</w:t>
      </w:r>
      <w:proofErr w:type="spellEnd"/>
      <w:r w:rsidRPr="003C7219">
        <w:rPr>
          <w:color w:val="auto"/>
          <w:lang w:val="en-US"/>
        </w:rPr>
        <w:t xml:space="preserve"> (green) and </w:t>
      </w:r>
      <w:proofErr w:type="spellStart"/>
      <w:r w:rsidRPr="003C7219">
        <w:rPr>
          <w:color w:val="auto"/>
          <w:lang w:val="en-US"/>
        </w:rPr>
        <w:t>cTnT</w:t>
      </w:r>
      <w:proofErr w:type="spellEnd"/>
      <w:r w:rsidRPr="003C7219">
        <w:rPr>
          <w:color w:val="auto"/>
          <w:lang w:val="en-US"/>
        </w:rPr>
        <w:t xml:space="preserve"> (green) shows sarcomere organization. Nuclei were stained with DAPI (blue). Scale bar: 20 </w:t>
      </w:r>
      <w:proofErr w:type="spellStart"/>
      <w:r w:rsidRPr="003C7219">
        <w:rPr>
          <w:color w:val="auto"/>
          <w:lang w:val="en-US"/>
        </w:rPr>
        <w:t>μm</w:t>
      </w:r>
      <w:proofErr w:type="spellEnd"/>
      <w:r w:rsidRPr="003C7219">
        <w:rPr>
          <w:color w:val="auto"/>
          <w:lang w:val="en-US"/>
        </w:rPr>
        <w:t>.</w:t>
      </w:r>
    </w:p>
    <w:p w14:paraId="77A6665F" w14:textId="45B23283" w:rsidR="00E60494" w:rsidRPr="003C7219" w:rsidRDefault="00E60494" w:rsidP="00663AB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048A9EC" w14:textId="5EABB6DF" w:rsidR="00E60494" w:rsidRPr="003C7219" w:rsidRDefault="00E6049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C721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747D9D9" w14:textId="77777777" w:rsidR="000D102A" w:rsidRPr="003C7219" w:rsidRDefault="000E2780" w:rsidP="000D102A">
      <w:pPr>
        <w:pStyle w:val="NormalWeb"/>
        <w:keepNext/>
      </w:pPr>
      <w:r w:rsidRPr="003C7219">
        <w:rPr>
          <w:noProof/>
        </w:rPr>
        <w:drawing>
          <wp:inline distT="0" distB="0" distL="0" distR="0" wp14:anchorId="33A4CF85" wp14:editId="725C7E45">
            <wp:extent cx="5539740" cy="4176905"/>
            <wp:effectExtent l="0" t="0" r="3810" b="0"/>
            <wp:docPr id="677899570" name="Obraz 1" descr="Obraz zawierający zrzut ekranu, Wielobarw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99570" name="Obraz 1" descr="Obraz zawierający zrzut ekranu, Wielobarwność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2" r="13625"/>
                    <a:stretch/>
                  </pic:blipFill>
                  <pic:spPr bwMode="auto">
                    <a:xfrm>
                      <a:off x="0" y="0"/>
                      <a:ext cx="5550126" cy="418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3AD5F" w14:textId="2CECD7C7" w:rsidR="00C64FF0" w:rsidRPr="003C7219" w:rsidRDefault="000D102A" w:rsidP="000D102A">
      <w:pPr>
        <w:pStyle w:val="Caption"/>
        <w:rPr>
          <w:color w:val="auto"/>
        </w:rPr>
      </w:pPr>
      <w:r w:rsidRPr="003C7219">
        <w:rPr>
          <w:color w:val="auto"/>
          <w:lang w:val="en-US"/>
        </w:rPr>
        <w:t xml:space="preserve">Figure S </w:t>
      </w:r>
      <w:r w:rsidRPr="003C7219">
        <w:rPr>
          <w:color w:val="auto"/>
        </w:rPr>
        <w:fldChar w:fldCharType="begin"/>
      </w:r>
      <w:r w:rsidRPr="003C7219">
        <w:rPr>
          <w:color w:val="auto"/>
          <w:lang w:val="en-US"/>
        </w:rPr>
        <w:instrText xml:space="preserve"> SEQ Figure_S \* ARABIC </w:instrText>
      </w:r>
      <w:r w:rsidRPr="003C7219">
        <w:rPr>
          <w:color w:val="auto"/>
        </w:rPr>
        <w:fldChar w:fldCharType="separate"/>
      </w:r>
      <w:r w:rsidR="00E379CB" w:rsidRPr="003C7219">
        <w:rPr>
          <w:noProof/>
          <w:color w:val="auto"/>
          <w:lang w:val="en-US"/>
        </w:rPr>
        <w:t>4</w:t>
      </w:r>
      <w:r w:rsidRPr="003C7219">
        <w:rPr>
          <w:color w:val="auto"/>
        </w:rPr>
        <w:fldChar w:fldCharType="end"/>
      </w:r>
      <w:r w:rsidRPr="003C7219">
        <w:rPr>
          <w:color w:val="auto"/>
          <w:lang w:val="en-US"/>
        </w:rPr>
        <w:t xml:space="preserve"> Generations of iPSC-CMs were verified via immunofluorescence staining of cardiomyocytes markers: transcription factor NKX2.5 (red), transcription factor GATA4 (red) and natriuretic peptide A (ANP, red) at day 30. </w:t>
      </w:r>
      <w:r w:rsidRPr="003C7219">
        <w:rPr>
          <w:color w:val="auto"/>
        </w:rPr>
        <w:t>Nuclei were stained with DAPI (blue). Scale bar: 20 μm.</w:t>
      </w:r>
    </w:p>
    <w:p w14:paraId="428DE721" w14:textId="213C7190" w:rsidR="00E379CB" w:rsidRPr="003C7219" w:rsidRDefault="006878B8" w:rsidP="00E379CB">
      <w:pPr>
        <w:keepNext/>
      </w:pPr>
      <w:r w:rsidRPr="003C7219">
        <w:rPr>
          <w:noProof/>
          <w:lang w:val="en-US"/>
        </w:rPr>
        <w:drawing>
          <wp:inline distT="0" distB="0" distL="0" distR="0" wp14:anchorId="7790C071" wp14:editId="0AE20EFA">
            <wp:extent cx="5306926" cy="5042981"/>
            <wp:effectExtent l="0" t="0" r="8255" b="0"/>
            <wp:docPr id="31858700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703" cy="5050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A3197" w14:textId="04FA84DB" w:rsidR="00B83A2F" w:rsidRPr="003C7219" w:rsidRDefault="00E379CB" w:rsidP="00E379CB">
      <w:pPr>
        <w:pStyle w:val="Caption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3C7219">
        <w:rPr>
          <w:color w:val="auto"/>
          <w:lang w:val="en-US"/>
        </w:rPr>
        <w:t xml:space="preserve">Figure S </w:t>
      </w:r>
      <w:r w:rsidRPr="003C7219">
        <w:rPr>
          <w:color w:val="auto"/>
        </w:rPr>
        <w:fldChar w:fldCharType="begin"/>
      </w:r>
      <w:r w:rsidRPr="003C7219">
        <w:rPr>
          <w:color w:val="auto"/>
          <w:lang w:val="en-US"/>
        </w:rPr>
        <w:instrText xml:space="preserve"> SEQ Figure_S \* ARABIC </w:instrText>
      </w:r>
      <w:r w:rsidRPr="003C7219">
        <w:rPr>
          <w:color w:val="auto"/>
        </w:rPr>
        <w:fldChar w:fldCharType="separate"/>
      </w:r>
      <w:r w:rsidRPr="003C7219">
        <w:rPr>
          <w:noProof/>
          <w:color w:val="auto"/>
          <w:lang w:val="en-US"/>
        </w:rPr>
        <w:t>5</w:t>
      </w:r>
      <w:r w:rsidRPr="003C7219">
        <w:rPr>
          <w:color w:val="auto"/>
        </w:rPr>
        <w:fldChar w:fldCharType="end"/>
      </w:r>
      <w:r w:rsidR="003E1B45" w:rsidRPr="003C7219">
        <w:rPr>
          <w:color w:val="auto"/>
          <w:lang w:val="en-US"/>
        </w:rPr>
        <w:t xml:space="preserve"> </w:t>
      </w:r>
      <w:r w:rsidR="00D26C03" w:rsidRPr="003C7219">
        <w:rPr>
          <w:color w:val="auto"/>
          <w:lang w:val="en-US"/>
        </w:rPr>
        <w:t xml:space="preserve">The iPSC-CMs stained with </w:t>
      </w:r>
      <w:proofErr w:type="spellStart"/>
      <w:r w:rsidR="00D26C03" w:rsidRPr="003C7219">
        <w:rPr>
          <w:color w:val="auto"/>
          <w:lang w:val="en-US"/>
        </w:rPr>
        <w:t>calcein</w:t>
      </w:r>
      <w:proofErr w:type="spellEnd"/>
      <w:r w:rsidR="00D26C03" w:rsidRPr="003C7219">
        <w:rPr>
          <w:color w:val="auto"/>
          <w:lang w:val="en-US"/>
        </w:rPr>
        <w:t>-AM (CAM) (green color) were cultured for 72 h on different nanofibrous mats depending on cell seeding density</w:t>
      </w:r>
      <w:r w:rsidR="00332A0A" w:rsidRPr="003C7219">
        <w:rPr>
          <w:color w:val="auto"/>
          <w:lang w:val="en-US"/>
        </w:rPr>
        <w:t xml:space="preserve"> </w:t>
      </w:r>
      <w:r w:rsidR="009B342F" w:rsidRPr="003C7219">
        <w:rPr>
          <w:color w:val="auto"/>
          <w:lang w:val="en-US"/>
        </w:rPr>
        <w:t>in 2</w:t>
      </w:r>
      <w:r w:rsidR="00EA180C" w:rsidRPr="003C7219">
        <w:rPr>
          <w:color w:val="auto"/>
          <w:lang w:val="en-US"/>
        </w:rPr>
        <w:t xml:space="preserve">0x </w:t>
      </w:r>
      <w:r w:rsidR="00EC12AC" w:rsidRPr="003C7219">
        <w:rPr>
          <w:color w:val="auto"/>
          <w:lang w:val="en-US"/>
        </w:rPr>
        <w:t>magnification</w:t>
      </w:r>
      <w:r w:rsidR="00D26C03" w:rsidRPr="003C7219">
        <w:rPr>
          <w:color w:val="auto"/>
          <w:lang w:val="en-US"/>
        </w:rPr>
        <w:t>.</w:t>
      </w:r>
      <w:bookmarkStart w:id="1" w:name="_GoBack"/>
      <w:bookmarkEnd w:id="1"/>
    </w:p>
    <w:p w14:paraId="112B7E38" w14:textId="77777777" w:rsidR="00B83A2F" w:rsidRPr="003C7219" w:rsidRDefault="00B83A2F" w:rsidP="0080214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3BF8F5" w14:textId="77777777" w:rsidR="00C64FF0" w:rsidRPr="003C7219" w:rsidRDefault="00C64FF0" w:rsidP="00C64FF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DD4542" w14:textId="3F0F72A4" w:rsidR="006134A0" w:rsidRPr="003C7219" w:rsidRDefault="006134A0" w:rsidP="006134A0">
      <w:pPr>
        <w:pStyle w:val="Pa16"/>
        <w:spacing w:before="40"/>
        <w:rPr>
          <w:rFonts w:ascii="Times New Roman" w:hAnsi="Times New Roman" w:cs="Times New Roman"/>
          <w:lang w:val="en-US"/>
        </w:rPr>
      </w:pPr>
    </w:p>
    <w:p w14:paraId="1E313901" w14:textId="4DFFA4CE" w:rsidR="00D3311D" w:rsidRPr="003C7219" w:rsidRDefault="00D3311D">
      <w:pPr>
        <w:rPr>
          <w:lang w:val="en-US"/>
        </w:rPr>
      </w:pPr>
    </w:p>
    <w:sectPr w:rsidR="00D3311D" w:rsidRPr="003C7219" w:rsidSect="003C7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Officin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CyMDQwMTUwN7KwNLJQ0lEKTi0uzszPAykwrAUAvCGDriwAAAA="/>
  </w:docVars>
  <w:rsids>
    <w:rsidRoot w:val="009721D0"/>
    <w:rsid w:val="00023DA3"/>
    <w:rsid w:val="000C1CEB"/>
    <w:rsid w:val="000C7216"/>
    <w:rsid w:val="000D102A"/>
    <w:rsid w:val="000E2780"/>
    <w:rsid w:val="000F0C9E"/>
    <w:rsid w:val="0014430B"/>
    <w:rsid w:val="001A218E"/>
    <w:rsid w:val="00206F80"/>
    <w:rsid w:val="002C2B6E"/>
    <w:rsid w:val="00332A0A"/>
    <w:rsid w:val="003361C3"/>
    <w:rsid w:val="00365995"/>
    <w:rsid w:val="003C7219"/>
    <w:rsid w:val="003E1B45"/>
    <w:rsid w:val="0044163C"/>
    <w:rsid w:val="004C76DE"/>
    <w:rsid w:val="004F419C"/>
    <w:rsid w:val="0050074C"/>
    <w:rsid w:val="0050234F"/>
    <w:rsid w:val="00516FA0"/>
    <w:rsid w:val="00517C13"/>
    <w:rsid w:val="00526D58"/>
    <w:rsid w:val="005A6F90"/>
    <w:rsid w:val="005F15CE"/>
    <w:rsid w:val="0060256B"/>
    <w:rsid w:val="006134A0"/>
    <w:rsid w:val="00663ABE"/>
    <w:rsid w:val="00672CAE"/>
    <w:rsid w:val="006878B8"/>
    <w:rsid w:val="00764C6D"/>
    <w:rsid w:val="00784CDB"/>
    <w:rsid w:val="0080214A"/>
    <w:rsid w:val="008E1CFC"/>
    <w:rsid w:val="00967606"/>
    <w:rsid w:val="009721D0"/>
    <w:rsid w:val="00991365"/>
    <w:rsid w:val="009B342F"/>
    <w:rsid w:val="009F2881"/>
    <w:rsid w:val="00AA3C33"/>
    <w:rsid w:val="00B60E98"/>
    <w:rsid w:val="00B65C17"/>
    <w:rsid w:val="00B83A2F"/>
    <w:rsid w:val="00C26E1F"/>
    <w:rsid w:val="00C5540F"/>
    <w:rsid w:val="00C64FF0"/>
    <w:rsid w:val="00D0700B"/>
    <w:rsid w:val="00D26C03"/>
    <w:rsid w:val="00D3311D"/>
    <w:rsid w:val="00D4364B"/>
    <w:rsid w:val="00D61455"/>
    <w:rsid w:val="00D96E68"/>
    <w:rsid w:val="00DC5300"/>
    <w:rsid w:val="00E379CB"/>
    <w:rsid w:val="00E465DF"/>
    <w:rsid w:val="00E60494"/>
    <w:rsid w:val="00EA180C"/>
    <w:rsid w:val="00EC12AC"/>
    <w:rsid w:val="00F6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A3895"/>
  <w15:chartTrackingRefBased/>
  <w15:docId w15:val="{684B638F-17B7-4B70-AC7D-3F03576F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21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1D0"/>
    <w:pPr>
      <w:spacing w:line="240" w:lineRule="auto"/>
    </w:pPr>
    <w:rPr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21D0"/>
    <w:rPr>
      <w:sz w:val="20"/>
      <w:szCs w:val="20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D0"/>
    <w:rPr>
      <w:rFonts w:ascii="Segoe UI" w:hAnsi="Segoe UI" w:cs="Segoe UI"/>
      <w:sz w:val="18"/>
      <w:szCs w:val="18"/>
    </w:rPr>
  </w:style>
  <w:style w:type="paragraph" w:customStyle="1" w:styleId="Pa16">
    <w:name w:val="Pa16"/>
    <w:basedOn w:val="Normal"/>
    <w:next w:val="Normal"/>
    <w:uiPriority w:val="99"/>
    <w:rsid w:val="006134A0"/>
    <w:pPr>
      <w:autoSpaceDE w:val="0"/>
      <w:autoSpaceDN w:val="0"/>
      <w:adjustRightInd w:val="0"/>
      <w:spacing w:after="0" w:line="180" w:lineRule="atLeast"/>
    </w:pPr>
    <w:rPr>
      <w:rFonts w:ascii="ITC Officina Sans" w:hAnsi="ITC Officina Sans"/>
      <w:sz w:val="24"/>
      <w:szCs w:val="24"/>
    </w:rPr>
  </w:style>
  <w:style w:type="character" w:customStyle="1" w:styleId="A12">
    <w:name w:val="A12"/>
    <w:uiPriority w:val="99"/>
    <w:rsid w:val="006134A0"/>
    <w:rPr>
      <w:rFonts w:cs="ITC Officina Sans"/>
      <w:color w:val="000000"/>
      <w:sz w:val="13"/>
      <w:szCs w:val="13"/>
    </w:rPr>
  </w:style>
  <w:style w:type="paragraph" w:customStyle="1" w:styleId="Pa21">
    <w:name w:val="Pa21"/>
    <w:basedOn w:val="Normal"/>
    <w:next w:val="Normal"/>
    <w:uiPriority w:val="99"/>
    <w:rsid w:val="006134A0"/>
    <w:pPr>
      <w:autoSpaceDE w:val="0"/>
      <w:autoSpaceDN w:val="0"/>
      <w:adjustRightInd w:val="0"/>
      <w:spacing w:after="0" w:line="120" w:lineRule="atLeast"/>
    </w:pPr>
    <w:rPr>
      <w:rFonts w:ascii="ITC Officina Sans" w:hAnsi="ITC Officina Sans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64FF0"/>
    <w:rPr>
      <w:i/>
      <w:iCs/>
    </w:rPr>
  </w:style>
  <w:style w:type="character" w:customStyle="1" w:styleId="A18">
    <w:name w:val="A18"/>
    <w:uiPriority w:val="99"/>
    <w:rsid w:val="000C7216"/>
    <w:rPr>
      <w:rFonts w:cs="ITC Officina Sans"/>
      <w:color w:val="000000"/>
      <w:sz w:val="12"/>
      <w:szCs w:val="12"/>
    </w:rPr>
  </w:style>
  <w:style w:type="paragraph" w:styleId="NormalWeb">
    <w:name w:val="Normal (Web)"/>
    <w:basedOn w:val="Normal"/>
    <w:uiPriority w:val="99"/>
    <w:unhideWhenUsed/>
    <w:rsid w:val="000E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C2B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C2B6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4C76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395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Nenckiego</Company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Krogulec</dc:creator>
  <cp:keywords/>
  <dc:description/>
  <cp:lastModifiedBy>Dhanalakshmi Vairavan</cp:lastModifiedBy>
  <cp:revision>4</cp:revision>
  <dcterms:created xsi:type="dcterms:W3CDTF">2024-04-24T10:57:00Z</dcterms:created>
  <dcterms:modified xsi:type="dcterms:W3CDTF">2024-06-04T10:41:00Z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37faedb6b0a509ff626acaa35cf9ddd2d259e3f2227964864bb9892ab5a38289</vt:lpwstr>
  </property>
</Properties>
</file>