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00223" w14:textId="77777777" w:rsidR="001370D2" w:rsidRDefault="001370D2" w:rsidP="001370D2">
      <w:pPr>
        <w:spacing w:line="480" w:lineRule="auto"/>
        <w:jc w:val="center"/>
        <w:rPr>
          <w:rFonts w:ascii="Times New Roman" w:eastAsia="Times New Roman" w:hAnsi="Times New Roman" w:cs="Times New Roman"/>
          <w:b/>
          <w:bCs/>
          <w:sz w:val="28"/>
          <w:szCs w:val="28"/>
        </w:rPr>
      </w:pPr>
      <w:r w:rsidRPr="7BB72243">
        <w:rPr>
          <w:rFonts w:ascii="Times New Roman" w:eastAsia="Times New Roman" w:hAnsi="Times New Roman" w:cs="Times New Roman"/>
          <w:b/>
          <w:bCs/>
          <w:sz w:val="28"/>
          <w:szCs w:val="28"/>
        </w:rPr>
        <w:t xml:space="preserve">Supplementary Tables </w:t>
      </w:r>
    </w:p>
    <w:p w14:paraId="2B1EE271" w14:textId="77777777" w:rsidR="001370D2" w:rsidRDefault="001370D2" w:rsidP="001370D2">
      <w:pPr>
        <w:spacing w:line="480" w:lineRule="auto"/>
        <w:rPr>
          <w:rFonts w:ascii="Times New Roman" w:eastAsia="Times New Roman" w:hAnsi="Times New Roman" w:cs="Times New Roman"/>
          <w:sz w:val="24"/>
          <w:szCs w:val="24"/>
        </w:rPr>
      </w:pPr>
      <w:r w:rsidRPr="7BB72243">
        <w:rPr>
          <w:rFonts w:ascii="Times New Roman" w:eastAsia="Times New Roman" w:hAnsi="Times New Roman" w:cs="Times New Roman"/>
          <w:b/>
          <w:bCs/>
          <w:sz w:val="24"/>
          <w:szCs w:val="24"/>
        </w:rPr>
        <w:t>Supplementary Table 1:</w:t>
      </w:r>
      <w:r w:rsidRPr="7BB72243">
        <w:rPr>
          <w:rFonts w:ascii="Times New Roman" w:eastAsia="Times New Roman" w:hAnsi="Times New Roman" w:cs="Times New Roman"/>
          <w:sz w:val="24"/>
          <w:szCs w:val="24"/>
        </w:rPr>
        <w:t xml:space="preserve"> Intraoperative quantitative survey</w:t>
      </w:r>
    </w:p>
    <w:tbl>
      <w:tblPr>
        <w:tblStyle w:val="TableGrid"/>
        <w:tblW w:w="0" w:type="auto"/>
        <w:tblLayout w:type="fixed"/>
        <w:tblLook w:val="06A0" w:firstRow="1" w:lastRow="0" w:firstColumn="1" w:lastColumn="0" w:noHBand="1" w:noVBand="1"/>
      </w:tblPr>
      <w:tblGrid>
        <w:gridCol w:w="1765"/>
        <w:gridCol w:w="1145"/>
        <w:gridCol w:w="1447"/>
        <w:gridCol w:w="1443"/>
        <w:gridCol w:w="1758"/>
        <w:gridCol w:w="1803"/>
      </w:tblGrid>
      <w:tr w:rsidR="001370D2" w14:paraId="22BC6530" w14:textId="77777777" w:rsidTr="000E6CB5">
        <w:trPr>
          <w:trHeight w:val="300"/>
        </w:trPr>
        <w:tc>
          <w:tcPr>
            <w:tcW w:w="9361" w:type="dxa"/>
            <w:gridSpan w:val="6"/>
          </w:tcPr>
          <w:p w14:paraId="5AE1C7D7" w14:textId="77777777" w:rsidR="001370D2" w:rsidRDefault="001370D2" w:rsidP="000E6CB5">
            <w:pPr>
              <w:jc w:val="cente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Quantitative Intraoperative Survey</w:t>
            </w:r>
          </w:p>
        </w:tc>
      </w:tr>
      <w:tr w:rsidR="001370D2" w14:paraId="0AB892A2" w14:textId="77777777" w:rsidTr="000E6CB5">
        <w:trPr>
          <w:trHeight w:val="300"/>
        </w:trPr>
        <w:tc>
          <w:tcPr>
            <w:tcW w:w="9361" w:type="dxa"/>
            <w:gridSpan w:val="6"/>
          </w:tcPr>
          <w:p w14:paraId="3082B35C"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 xml:space="preserve">Consistency </w:t>
            </w:r>
          </w:p>
          <w:p w14:paraId="2127B0DB" w14:textId="77777777" w:rsidR="001370D2" w:rsidRDefault="001370D2" w:rsidP="000E6CB5">
            <w:pPr>
              <w:rPr>
                <w:rFonts w:ascii="Times New Roman" w:eastAsia="Times New Roman" w:hAnsi="Times New Roman" w:cs="Times New Roman"/>
                <w:sz w:val="24"/>
                <w:szCs w:val="24"/>
              </w:rPr>
            </w:pPr>
            <w:r w:rsidRPr="7BB72243">
              <w:rPr>
                <w:rFonts w:ascii="Times New Roman" w:eastAsia="Times New Roman" w:hAnsi="Times New Roman" w:cs="Times New Roman"/>
                <w:sz w:val="24"/>
                <w:szCs w:val="24"/>
              </w:rPr>
              <w:t>Please mark all that apply.</w:t>
            </w:r>
          </w:p>
        </w:tc>
      </w:tr>
      <w:tr w:rsidR="001370D2" w14:paraId="2D43894E" w14:textId="77777777" w:rsidTr="000E6CB5">
        <w:trPr>
          <w:trHeight w:val="300"/>
        </w:trPr>
        <w:tc>
          <w:tcPr>
            <w:tcW w:w="1765" w:type="dxa"/>
            <w:vMerge w:val="restart"/>
          </w:tcPr>
          <w:p w14:paraId="65DE18DB" w14:textId="77777777" w:rsidR="001370D2" w:rsidRDefault="001370D2" w:rsidP="000E6CB5">
            <w:pPr>
              <w:rPr>
                <w:rFonts w:ascii="Times New Roman" w:eastAsia="Times New Roman" w:hAnsi="Times New Roman" w:cs="Times New Roman"/>
                <w:b/>
                <w:bCs/>
                <w:sz w:val="24"/>
                <w:szCs w:val="24"/>
              </w:rPr>
            </w:pPr>
          </w:p>
          <w:p w14:paraId="146C78C1"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Not Applicable</w:t>
            </w:r>
          </w:p>
        </w:tc>
        <w:tc>
          <w:tcPr>
            <w:tcW w:w="1145" w:type="dxa"/>
          </w:tcPr>
          <w:p w14:paraId="20614CDF"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Liquid</w:t>
            </w:r>
          </w:p>
        </w:tc>
        <w:tc>
          <w:tcPr>
            <w:tcW w:w="1447" w:type="dxa"/>
          </w:tcPr>
          <w:p w14:paraId="4FCEC8CC" w14:textId="77777777" w:rsidR="001370D2" w:rsidRDefault="001370D2" w:rsidP="000E6CB5">
            <w:pPr>
              <w:rPr>
                <w:rFonts w:ascii="Times New Roman" w:eastAsia="Times New Roman" w:hAnsi="Times New Roman" w:cs="Times New Roman"/>
                <w:b/>
                <w:bCs/>
                <w:sz w:val="24"/>
                <w:szCs w:val="24"/>
              </w:rPr>
            </w:pPr>
            <w:proofErr w:type="spellStart"/>
            <w:r w:rsidRPr="7BB72243">
              <w:rPr>
                <w:rFonts w:ascii="Times New Roman" w:eastAsia="Times New Roman" w:hAnsi="Times New Roman" w:cs="Times New Roman"/>
                <w:b/>
                <w:bCs/>
                <w:sz w:val="24"/>
                <w:szCs w:val="24"/>
              </w:rPr>
              <w:t>Suctionable</w:t>
            </w:r>
            <w:proofErr w:type="spellEnd"/>
          </w:p>
        </w:tc>
        <w:tc>
          <w:tcPr>
            <w:tcW w:w="1443" w:type="dxa"/>
          </w:tcPr>
          <w:p w14:paraId="4AFA2661" w14:textId="77777777" w:rsidR="001370D2" w:rsidRDefault="001370D2" w:rsidP="000E6CB5">
            <w:pPr>
              <w:rPr>
                <w:rFonts w:ascii="Times New Roman" w:eastAsia="Times New Roman" w:hAnsi="Times New Roman" w:cs="Times New Roman"/>
                <w:b/>
                <w:bCs/>
                <w:sz w:val="24"/>
                <w:szCs w:val="24"/>
              </w:rPr>
            </w:pPr>
            <w:proofErr w:type="spellStart"/>
            <w:r w:rsidRPr="276209A5">
              <w:rPr>
                <w:rFonts w:ascii="Times New Roman" w:eastAsia="Times New Roman" w:hAnsi="Times New Roman" w:cs="Times New Roman"/>
                <w:b/>
                <w:bCs/>
                <w:sz w:val="24"/>
                <w:szCs w:val="24"/>
              </w:rPr>
              <w:t>Resectable</w:t>
            </w:r>
            <w:proofErr w:type="spellEnd"/>
            <w:r w:rsidRPr="276209A5">
              <w:rPr>
                <w:rFonts w:ascii="Times New Roman" w:eastAsia="Times New Roman" w:hAnsi="Times New Roman" w:cs="Times New Roman"/>
                <w:b/>
                <w:bCs/>
                <w:sz w:val="24"/>
                <w:szCs w:val="24"/>
              </w:rPr>
              <w:t xml:space="preserve"> at low ultrasonic aspirator setting</w:t>
            </w:r>
          </w:p>
        </w:tc>
        <w:tc>
          <w:tcPr>
            <w:tcW w:w="1758" w:type="dxa"/>
          </w:tcPr>
          <w:p w14:paraId="799F4322" w14:textId="77777777" w:rsidR="001370D2" w:rsidRDefault="001370D2" w:rsidP="000E6CB5">
            <w:pPr>
              <w:rPr>
                <w:rFonts w:ascii="Times New Roman" w:eastAsia="Times New Roman" w:hAnsi="Times New Roman" w:cs="Times New Roman"/>
                <w:b/>
                <w:bCs/>
                <w:sz w:val="24"/>
                <w:szCs w:val="24"/>
              </w:rPr>
            </w:pPr>
            <w:proofErr w:type="spellStart"/>
            <w:r w:rsidRPr="276209A5">
              <w:rPr>
                <w:rFonts w:ascii="Times New Roman" w:eastAsia="Times New Roman" w:hAnsi="Times New Roman" w:cs="Times New Roman"/>
                <w:b/>
                <w:bCs/>
                <w:sz w:val="24"/>
                <w:szCs w:val="24"/>
              </w:rPr>
              <w:t>Resectable</w:t>
            </w:r>
            <w:proofErr w:type="spellEnd"/>
            <w:r w:rsidRPr="276209A5">
              <w:rPr>
                <w:rFonts w:ascii="Times New Roman" w:eastAsia="Times New Roman" w:hAnsi="Times New Roman" w:cs="Times New Roman"/>
                <w:b/>
                <w:bCs/>
                <w:sz w:val="24"/>
                <w:szCs w:val="24"/>
              </w:rPr>
              <w:t xml:space="preserve"> at high ultrasonic aspirator setting “rock hard”</w:t>
            </w:r>
          </w:p>
        </w:tc>
        <w:tc>
          <w:tcPr>
            <w:tcW w:w="1803" w:type="dxa"/>
          </w:tcPr>
          <w:p w14:paraId="6DDF5EC4"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Unresectable</w:t>
            </w:r>
          </w:p>
        </w:tc>
      </w:tr>
      <w:tr w:rsidR="001370D2" w14:paraId="7CE91717" w14:textId="77777777" w:rsidTr="000E6CB5">
        <w:trPr>
          <w:trHeight w:val="300"/>
        </w:trPr>
        <w:tc>
          <w:tcPr>
            <w:tcW w:w="1765" w:type="dxa"/>
            <w:vMerge/>
          </w:tcPr>
          <w:p w14:paraId="12F731CE" w14:textId="77777777" w:rsidR="001370D2" w:rsidRDefault="001370D2" w:rsidP="000E6CB5"/>
        </w:tc>
        <w:tc>
          <w:tcPr>
            <w:tcW w:w="1145" w:type="dxa"/>
          </w:tcPr>
          <w:p w14:paraId="303E75B7"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1</w:t>
            </w:r>
          </w:p>
        </w:tc>
        <w:tc>
          <w:tcPr>
            <w:tcW w:w="1447" w:type="dxa"/>
          </w:tcPr>
          <w:p w14:paraId="6736CB10"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2</w:t>
            </w:r>
          </w:p>
        </w:tc>
        <w:tc>
          <w:tcPr>
            <w:tcW w:w="1443" w:type="dxa"/>
          </w:tcPr>
          <w:p w14:paraId="3C191FFF"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3</w:t>
            </w:r>
          </w:p>
        </w:tc>
        <w:tc>
          <w:tcPr>
            <w:tcW w:w="1758" w:type="dxa"/>
          </w:tcPr>
          <w:p w14:paraId="2AED44CB"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4</w:t>
            </w:r>
          </w:p>
        </w:tc>
        <w:tc>
          <w:tcPr>
            <w:tcW w:w="1803" w:type="dxa"/>
          </w:tcPr>
          <w:p w14:paraId="6B74DA56"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5</w:t>
            </w:r>
          </w:p>
        </w:tc>
      </w:tr>
      <w:tr w:rsidR="001370D2" w14:paraId="1B49E50D" w14:textId="77777777" w:rsidTr="000E6CB5">
        <w:trPr>
          <w:trHeight w:val="601"/>
        </w:trPr>
        <w:tc>
          <w:tcPr>
            <w:tcW w:w="9361" w:type="dxa"/>
            <w:gridSpan w:val="6"/>
          </w:tcPr>
          <w:p w14:paraId="1527C552"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Zone</w:t>
            </w:r>
          </w:p>
          <w:p w14:paraId="31C986EC" w14:textId="77777777" w:rsidR="001370D2" w:rsidRDefault="001370D2" w:rsidP="000E6CB5">
            <w:pPr>
              <w:rPr>
                <w:rFonts w:ascii="Times New Roman" w:eastAsia="Times New Roman" w:hAnsi="Times New Roman" w:cs="Times New Roman"/>
                <w:sz w:val="24"/>
                <w:szCs w:val="24"/>
              </w:rPr>
            </w:pPr>
            <w:r w:rsidRPr="7BB72243">
              <w:rPr>
                <w:rFonts w:ascii="Times New Roman" w:eastAsia="Times New Roman" w:hAnsi="Times New Roman" w:cs="Times New Roman"/>
                <w:sz w:val="24"/>
                <w:szCs w:val="24"/>
              </w:rPr>
              <w:t>Please mark all that apply.</w:t>
            </w:r>
          </w:p>
        </w:tc>
      </w:tr>
      <w:tr w:rsidR="001370D2" w14:paraId="477E7D9F" w14:textId="77777777" w:rsidTr="000E6CB5">
        <w:trPr>
          <w:trHeight w:val="315"/>
        </w:trPr>
        <w:tc>
          <w:tcPr>
            <w:tcW w:w="1765" w:type="dxa"/>
            <w:vMerge w:val="restart"/>
          </w:tcPr>
          <w:p w14:paraId="7CE4EAFA"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Not Applicable</w:t>
            </w:r>
          </w:p>
        </w:tc>
        <w:tc>
          <w:tcPr>
            <w:tcW w:w="2592" w:type="dxa"/>
            <w:gridSpan w:val="2"/>
          </w:tcPr>
          <w:p w14:paraId="75176F0E"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Root Entry Zone (REZ)</w:t>
            </w:r>
          </w:p>
        </w:tc>
        <w:tc>
          <w:tcPr>
            <w:tcW w:w="3201" w:type="dxa"/>
            <w:gridSpan w:val="2"/>
          </w:tcPr>
          <w:p w14:paraId="1F0C5E0E"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Brainstem</w:t>
            </w:r>
          </w:p>
        </w:tc>
        <w:tc>
          <w:tcPr>
            <w:tcW w:w="1803" w:type="dxa"/>
          </w:tcPr>
          <w:p w14:paraId="3880FD34"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Cerebellum</w:t>
            </w:r>
          </w:p>
        </w:tc>
      </w:tr>
      <w:tr w:rsidR="001370D2" w14:paraId="7FD24E3D" w14:textId="77777777" w:rsidTr="000E6CB5">
        <w:trPr>
          <w:trHeight w:val="300"/>
        </w:trPr>
        <w:tc>
          <w:tcPr>
            <w:tcW w:w="1765" w:type="dxa"/>
            <w:vMerge/>
          </w:tcPr>
          <w:p w14:paraId="5AA60C69" w14:textId="77777777" w:rsidR="001370D2" w:rsidRDefault="001370D2" w:rsidP="000E6CB5"/>
        </w:tc>
        <w:tc>
          <w:tcPr>
            <w:tcW w:w="2592" w:type="dxa"/>
            <w:gridSpan w:val="2"/>
          </w:tcPr>
          <w:p w14:paraId="2F36F535"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1</w:t>
            </w:r>
          </w:p>
        </w:tc>
        <w:tc>
          <w:tcPr>
            <w:tcW w:w="3201" w:type="dxa"/>
            <w:gridSpan w:val="2"/>
          </w:tcPr>
          <w:p w14:paraId="6A69BCA8"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2</w:t>
            </w:r>
          </w:p>
        </w:tc>
        <w:tc>
          <w:tcPr>
            <w:tcW w:w="1803" w:type="dxa"/>
          </w:tcPr>
          <w:p w14:paraId="75776107" w14:textId="77777777" w:rsidR="001370D2" w:rsidRDefault="001370D2" w:rsidP="000E6CB5">
            <w:pPr>
              <w:rPr>
                <w:rFonts w:ascii="Times New Roman" w:eastAsia="Times New Roman" w:hAnsi="Times New Roman" w:cs="Times New Roman"/>
                <w:b/>
                <w:bCs/>
                <w:sz w:val="24"/>
                <w:szCs w:val="24"/>
              </w:rPr>
            </w:pPr>
            <w:r w:rsidRPr="7BB72243">
              <w:rPr>
                <w:rFonts w:ascii="Times New Roman" w:eastAsia="Times New Roman" w:hAnsi="Times New Roman" w:cs="Times New Roman"/>
                <w:b/>
                <w:bCs/>
                <w:sz w:val="24"/>
                <w:szCs w:val="24"/>
              </w:rPr>
              <w:t>3</w:t>
            </w:r>
          </w:p>
        </w:tc>
      </w:tr>
    </w:tbl>
    <w:p w14:paraId="3D3115AA" w14:textId="77777777" w:rsidR="001370D2" w:rsidRDefault="001370D2" w:rsidP="001370D2">
      <w:pPr>
        <w:spacing w:line="480" w:lineRule="auto"/>
        <w:rPr>
          <w:rFonts w:ascii="Times New Roman" w:eastAsia="Times New Roman" w:hAnsi="Times New Roman" w:cs="Times New Roman"/>
          <w:sz w:val="24"/>
          <w:szCs w:val="24"/>
        </w:rPr>
      </w:pPr>
    </w:p>
    <w:p w14:paraId="1F18FD97" w14:textId="77777777" w:rsidR="001370D2" w:rsidRDefault="001370D2" w:rsidP="001370D2">
      <w:pPr>
        <w:spacing w:line="480" w:lineRule="auto"/>
        <w:jc w:val="center"/>
        <w:rPr>
          <w:rFonts w:ascii="Times New Roman" w:eastAsia="Times New Roman" w:hAnsi="Times New Roman" w:cs="Times New Roman"/>
          <w:b/>
          <w:bCs/>
          <w:sz w:val="28"/>
          <w:szCs w:val="28"/>
        </w:rPr>
      </w:pPr>
      <w:r w:rsidRPr="0FD961C1">
        <w:rPr>
          <w:rFonts w:ascii="Times New Roman" w:eastAsia="Times New Roman" w:hAnsi="Times New Roman" w:cs="Times New Roman"/>
          <w:b/>
          <w:bCs/>
          <w:sz w:val="28"/>
          <w:szCs w:val="28"/>
        </w:rPr>
        <w:t>Supplementary Figure Legends</w:t>
      </w:r>
    </w:p>
    <w:p w14:paraId="316AAC5F" w14:textId="4782B1CC" w:rsidR="001370D2" w:rsidRDefault="341AC30F" w:rsidP="0FD961C1">
      <w:pPr>
        <w:spacing w:line="480" w:lineRule="exact"/>
      </w:pPr>
      <w:r w:rsidRPr="162711E5">
        <w:rPr>
          <w:rFonts w:ascii="Times New Roman" w:eastAsia="Times New Roman" w:hAnsi="Times New Roman" w:cs="Times New Roman"/>
          <w:b/>
          <w:bCs/>
          <w:color w:val="000000" w:themeColor="text1"/>
          <w:sz w:val="24"/>
          <w:szCs w:val="24"/>
        </w:rPr>
        <w:t>Supplementary Figure S1</w:t>
      </w:r>
      <w:r w:rsidRPr="162711E5">
        <w:rPr>
          <w:rFonts w:ascii="Times New Roman" w:eastAsia="Times New Roman" w:hAnsi="Times New Roman" w:cs="Times New Roman"/>
          <w:color w:val="000000" w:themeColor="text1"/>
          <w:sz w:val="24"/>
          <w:szCs w:val="24"/>
        </w:rPr>
        <w:t xml:space="preserve">: MRE stiffness does not vary between patient sex. </w:t>
      </w:r>
    </w:p>
    <w:p w14:paraId="0DED1947" w14:textId="1AC573C6" w:rsidR="001370D2" w:rsidRDefault="341AC30F" w:rsidP="162711E5">
      <w:pPr>
        <w:spacing w:line="480" w:lineRule="exact"/>
        <w:rPr>
          <w:rFonts w:ascii="Times New Roman" w:eastAsia="Times New Roman" w:hAnsi="Times New Roman" w:cs="Times New Roman"/>
          <w:color w:val="000000" w:themeColor="text1"/>
          <w:sz w:val="24"/>
          <w:szCs w:val="24"/>
        </w:rPr>
      </w:pPr>
      <w:r w:rsidRPr="3871BA8D">
        <w:rPr>
          <w:rFonts w:ascii="Times New Roman" w:eastAsia="Times New Roman" w:hAnsi="Times New Roman" w:cs="Times New Roman"/>
          <w:b/>
          <w:bCs/>
          <w:color w:val="000000" w:themeColor="text1"/>
          <w:sz w:val="24"/>
          <w:szCs w:val="24"/>
        </w:rPr>
        <w:t>Supplementary Figure S</w:t>
      </w:r>
      <w:r w:rsidR="46ABD541" w:rsidRPr="3871BA8D">
        <w:rPr>
          <w:rFonts w:ascii="Times New Roman" w:eastAsia="Times New Roman" w:hAnsi="Times New Roman" w:cs="Times New Roman"/>
          <w:b/>
          <w:bCs/>
          <w:color w:val="000000" w:themeColor="text1"/>
          <w:sz w:val="24"/>
          <w:szCs w:val="24"/>
        </w:rPr>
        <w:t>2</w:t>
      </w:r>
      <w:r w:rsidRPr="3871BA8D">
        <w:rPr>
          <w:rFonts w:ascii="Times New Roman" w:eastAsia="Times New Roman" w:hAnsi="Times New Roman" w:cs="Times New Roman"/>
          <w:color w:val="000000" w:themeColor="text1"/>
          <w:sz w:val="24"/>
          <w:szCs w:val="24"/>
        </w:rPr>
        <w:t xml:space="preserve">: </w:t>
      </w:r>
      <w:r w:rsidR="2DBADD8B" w:rsidRPr="3871BA8D">
        <w:rPr>
          <w:rFonts w:ascii="Times New Roman" w:eastAsia="Times New Roman" w:hAnsi="Times New Roman" w:cs="Times New Roman"/>
          <w:color w:val="000000" w:themeColor="text1"/>
          <w:sz w:val="24"/>
          <w:szCs w:val="24"/>
        </w:rPr>
        <w:t xml:space="preserve">Preoperative </w:t>
      </w:r>
      <w:r w:rsidR="4CD5C0C3" w:rsidRPr="3871BA8D">
        <w:rPr>
          <w:rFonts w:ascii="Times New Roman" w:eastAsia="Times New Roman" w:hAnsi="Times New Roman" w:cs="Times New Roman"/>
          <w:color w:val="000000" w:themeColor="text1"/>
          <w:sz w:val="24"/>
          <w:szCs w:val="24"/>
        </w:rPr>
        <w:t xml:space="preserve">ipsilateral word recognition scoring (WRS) in a quiet environment did not correlate with MRE stiffness </w:t>
      </w:r>
      <w:r w:rsidR="2645CF1A" w:rsidRPr="3871BA8D">
        <w:rPr>
          <w:rFonts w:ascii="Times New Roman" w:eastAsia="Times New Roman" w:hAnsi="Times New Roman" w:cs="Times New Roman"/>
          <w:color w:val="000000" w:themeColor="text1"/>
          <w:sz w:val="24"/>
          <w:szCs w:val="24"/>
        </w:rPr>
        <w:t>in our cohort.</w:t>
      </w:r>
      <w:r w:rsidR="75570AE8" w:rsidRPr="3871BA8D">
        <w:rPr>
          <w:rFonts w:ascii="Times New Roman" w:eastAsia="Times New Roman" w:hAnsi="Times New Roman" w:cs="Times New Roman"/>
          <w:color w:val="000000" w:themeColor="text1"/>
          <w:sz w:val="24"/>
          <w:szCs w:val="24"/>
        </w:rPr>
        <w:t xml:space="preserve"> </w:t>
      </w:r>
      <w:r w:rsidR="75570AE8" w:rsidRPr="3871BA8D">
        <w:rPr>
          <w:rFonts w:ascii="Times New Roman" w:eastAsia="Times New Roman" w:hAnsi="Times New Roman" w:cs="Times New Roman"/>
          <w:i/>
          <w:iCs/>
          <w:color w:val="000000" w:themeColor="text1"/>
          <w:sz w:val="24"/>
          <w:szCs w:val="24"/>
        </w:rPr>
        <w:t>p&gt;</w:t>
      </w:r>
      <w:r w:rsidR="75570AE8" w:rsidRPr="3871BA8D">
        <w:rPr>
          <w:rFonts w:ascii="Times New Roman" w:eastAsia="Times New Roman" w:hAnsi="Times New Roman" w:cs="Times New Roman"/>
          <w:color w:val="000000" w:themeColor="text1"/>
          <w:sz w:val="24"/>
          <w:szCs w:val="24"/>
        </w:rPr>
        <w:t>0.05 by analysis of Pearson correlation coefficient.</w:t>
      </w:r>
      <w:r w:rsidR="2645CF1A" w:rsidRPr="3871BA8D">
        <w:rPr>
          <w:rFonts w:ascii="Times New Roman" w:eastAsia="Times New Roman" w:hAnsi="Times New Roman" w:cs="Times New Roman"/>
          <w:color w:val="000000" w:themeColor="text1"/>
          <w:sz w:val="24"/>
          <w:szCs w:val="24"/>
        </w:rPr>
        <w:t xml:space="preserve"> Black dots represent </w:t>
      </w:r>
      <w:r w:rsidR="593FAD6D" w:rsidRPr="3871BA8D">
        <w:rPr>
          <w:rFonts w:ascii="Times New Roman" w:eastAsia="Times New Roman" w:hAnsi="Times New Roman" w:cs="Times New Roman"/>
          <w:color w:val="000000" w:themeColor="text1"/>
          <w:sz w:val="24"/>
          <w:szCs w:val="24"/>
        </w:rPr>
        <w:t>vestibular schwannoma</w:t>
      </w:r>
      <w:r w:rsidR="69806FB2" w:rsidRPr="3871BA8D">
        <w:rPr>
          <w:rFonts w:ascii="Times New Roman" w:eastAsia="Times New Roman" w:hAnsi="Times New Roman" w:cs="Times New Roman"/>
          <w:color w:val="000000" w:themeColor="text1"/>
          <w:sz w:val="24"/>
          <w:szCs w:val="24"/>
        </w:rPr>
        <w:t>s</w:t>
      </w:r>
      <w:r w:rsidR="593FAD6D" w:rsidRPr="3871BA8D">
        <w:rPr>
          <w:rFonts w:ascii="Times New Roman" w:eastAsia="Times New Roman" w:hAnsi="Times New Roman" w:cs="Times New Roman"/>
          <w:color w:val="000000" w:themeColor="text1"/>
          <w:sz w:val="24"/>
          <w:szCs w:val="24"/>
        </w:rPr>
        <w:t xml:space="preserve"> </w:t>
      </w:r>
      <w:r w:rsidR="2645CF1A" w:rsidRPr="3871BA8D">
        <w:rPr>
          <w:rFonts w:ascii="Times New Roman" w:eastAsia="Times New Roman" w:hAnsi="Times New Roman" w:cs="Times New Roman"/>
          <w:color w:val="000000" w:themeColor="text1"/>
          <w:sz w:val="24"/>
          <w:szCs w:val="24"/>
        </w:rPr>
        <w:t xml:space="preserve">and red dots represent </w:t>
      </w:r>
      <w:r w:rsidR="44B09085" w:rsidRPr="3871BA8D">
        <w:rPr>
          <w:rFonts w:ascii="Times New Roman" w:eastAsia="Times New Roman" w:hAnsi="Times New Roman" w:cs="Times New Roman"/>
          <w:color w:val="000000" w:themeColor="text1"/>
          <w:sz w:val="24"/>
          <w:szCs w:val="24"/>
        </w:rPr>
        <w:t>meningiomas</w:t>
      </w:r>
      <w:r w:rsidR="2645CF1A" w:rsidRPr="3871BA8D">
        <w:rPr>
          <w:rFonts w:ascii="Times New Roman" w:eastAsia="Times New Roman" w:hAnsi="Times New Roman" w:cs="Times New Roman"/>
          <w:color w:val="000000" w:themeColor="text1"/>
          <w:sz w:val="24"/>
          <w:szCs w:val="24"/>
        </w:rPr>
        <w:t>.</w:t>
      </w:r>
    </w:p>
    <w:p w14:paraId="1C5991F2" w14:textId="0CDC0DE0" w:rsidR="76D63DD6" w:rsidRDefault="76D63DD6" w:rsidP="162711E5">
      <w:pPr>
        <w:spacing w:line="480" w:lineRule="exact"/>
        <w:rPr>
          <w:rFonts w:ascii="Times New Roman" w:eastAsia="Times New Roman" w:hAnsi="Times New Roman" w:cs="Times New Roman"/>
          <w:color w:val="000000" w:themeColor="text1"/>
          <w:sz w:val="24"/>
          <w:szCs w:val="24"/>
        </w:rPr>
      </w:pPr>
      <w:r w:rsidRPr="3871BA8D">
        <w:rPr>
          <w:rFonts w:ascii="Times New Roman" w:eastAsia="Times New Roman" w:hAnsi="Times New Roman" w:cs="Times New Roman"/>
          <w:b/>
          <w:bCs/>
          <w:color w:val="000000" w:themeColor="text1"/>
          <w:sz w:val="24"/>
          <w:szCs w:val="24"/>
        </w:rPr>
        <w:t>Supplementary Figure S3:</w:t>
      </w:r>
      <w:r w:rsidR="07EB3732" w:rsidRPr="3871BA8D">
        <w:rPr>
          <w:rFonts w:ascii="Times New Roman" w:eastAsia="Times New Roman" w:hAnsi="Times New Roman" w:cs="Times New Roman"/>
          <w:color w:val="000000" w:themeColor="text1"/>
          <w:sz w:val="24"/>
          <w:szCs w:val="24"/>
        </w:rPr>
        <w:t xml:space="preserve"> Preoperative ipsilateral bone-conduction pure tone average (PTA) does not correlate with patient age (A) or tumor volume (B)</w:t>
      </w:r>
      <w:r w:rsidR="51D27CB9" w:rsidRPr="3871BA8D">
        <w:rPr>
          <w:rFonts w:ascii="Times New Roman" w:eastAsia="Times New Roman" w:hAnsi="Times New Roman" w:cs="Times New Roman"/>
          <w:color w:val="000000" w:themeColor="text1"/>
          <w:sz w:val="24"/>
          <w:szCs w:val="24"/>
        </w:rPr>
        <w:t xml:space="preserve">, all </w:t>
      </w:r>
      <w:r w:rsidR="51D27CB9" w:rsidRPr="3871BA8D">
        <w:rPr>
          <w:rFonts w:ascii="Times New Roman" w:eastAsia="Times New Roman" w:hAnsi="Times New Roman" w:cs="Times New Roman"/>
          <w:i/>
          <w:iCs/>
          <w:color w:val="000000" w:themeColor="text1"/>
          <w:sz w:val="24"/>
          <w:szCs w:val="24"/>
        </w:rPr>
        <w:t>p&gt;</w:t>
      </w:r>
      <w:r w:rsidR="51D27CB9" w:rsidRPr="3871BA8D">
        <w:rPr>
          <w:rFonts w:ascii="Times New Roman" w:eastAsia="Times New Roman" w:hAnsi="Times New Roman" w:cs="Times New Roman"/>
          <w:color w:val="000000" w:themeColor="text1"/>
          <w:sz w:val="24"/>
          <w:szCs w:val="24"/>
        </w:rPr>
        <w:t>0.05 by analysis of Pearson correlation coefficient</w:t>
      </w:r>
      <w:r w:rsidR="07EB3732" w:rsidRPr="3871BA8D">
        <w:rPr>
          <w:rFonts w:ascii="Times New Roman" w:eastAsia="Times New Roman" w:hAnsi="Times New Roman" w:cs="Times New Roman"/>
          <w:color w:val="000000" w:themeColor="text1"/>
          <w:sz w:val="24"/>
          <w:szCs w:val="24"/>
        </w:rPr>
        <w:t xml:space="preserve">. </w:t>
      </w:r>
      <w:r w:rsidR="0E51CD96" w:rsidRPr="3871BA8D">
        <w:rPr>
          <w:rFonts w:ascii="Times New Roman" w:eastAsia="Times New Roman" w:hAnsi="Times New Roman" w:cs="Times New Roman"/>
          <w:color w:val="000000" w:themeColor="text1"/>
          <w:sz w:val="24"/>
          <w:szCs w:val="24"/>
        </w:rPr>
        <w:t xml:space="preserve">Patient age (C) or tumor volume (D) does not differ in patients with good </w:t>
      </w:r>
      <w:r w:rsidR="0E51CD96" w:rsidRPr="3871BA8D">
        <w:rPr>
          <w:rFonts w:ascii="Times New Roman" w:eastAsia="Times New Roman" w:hAnsi="Times New Roman" w:cs="Times New Roman"/>
          <w:color w:val="000000" w:themeColor="text1"/>
          <w:sz w:val="24"/>
          <w:szCs w:val="24"/>
        </w:rPr>
        <w:lastRenderedPageBreak/>
        <w:t>facial nerve function (HB I-III) compared to poor FN function (HB &gt; III)</w:t>
      </w:r>
      <w:r w:rsidR="438950D3" w:rsidRPr="3871BA8D">
        <w:rPr>
          <w:rFonts w:ascii="Times New Roman" w:eastAsia="Times New Roman" w:hAnsi="Times New Roman" w:cs="Times New Roman"/>
          <w:color w:val="000000" w:themeColor="text1"/>
          <w:sz w:val="24"/>
          <w:szCs w:val="24"/>
        </w:rPr>
        <w:t xml:space="preserve">, </w:t>
      </w:r>
      <w:proofErr w:type="spellStart"/>
      <w:r w:rsidR="438950D3" w:rsidRPr="3871BA8D">
        <w:rPr>
          <w:rFonts w:ascii="Times New Roman" w:eastAsia="Times New Roman" w:hAnsi="Times New Roman" w:cs="Times New Roman"/>
          <w:color w:val="000000" w:themeColor="text1"/>
          <w:sz w:val="24"/>
          <w:szCs w:val="24"/>
        </w:rPr>
        <w:t>n.s</w:t>
      </w:r>
      <w:proofErr w:type="spellEnd"/>
      <w:r w:rsidR="438950D3" w:rsidRPr="3871BA8D">
        <w:rPr>
          <w:rFonts w:ascii="Times New Roman" w:eastAsia="Times New Roman" w:hAnsi="Times New Roman" w:cs="Times New Roman"/>
          <w:color w:val="000000" w:themeColor="text1"/>
          <w:sz w:val="24"/>
          <w:szCs w:val="24"/>
        </w:rPr>
        <w:t xml:space="preserve">., non-significant by Mann-Whitney </w:t>
      </w:r>
      <w:r w:rsidR="438950D3" w:rsidRPr="3871BA8D">
        <w:rPr>
          <w:rFonts w:ascii="Times New Roman" w:eastAsia="Times New Roman" w:hAnsi="Times New Roman" w:cs="Times New Roman"/>
          <w:i/>
          <w:iCs/>
          <w:color w:val="000000" w:themeColor="text1"/>
          <w:sz w:val="24"/>
          <w:szCs w:val="24"/>
        </w:rPr>
        <w:t>U</w:t>
      </w:r>
      <w:r w:rsidR="438950D3" w:rsidRPr="3871BA8D">
        <w:rPr>
          <w:rFonts w:ascii="Times New Roman" w:eastAsia="Times New Roman" w:hAnsi="Times New Roman" w:cs="Times New Roman"/>
          <w:color w:val="000000" w:themeColor="text1"/>
          <w:sz w:val="24"/>
          <w:szCs w:val="24"/>
        </w:rPr>
        <w:t>-test</w:t>
      </w:r>
      <w:r w:rsidR="0E51CD96" w:rsidRPr="3871BA8D">
        <w:rPr>
          <w:rFonts w:ascii="Times New Roman" w:eastAsia="Times New Roman" w:hAnsi="Times New Roman" w:cs="Times New Roman"/>
          <w:color w:val="000000" w:themeColor="text1"/>
          <w:sz w:val="24"/>
          <w:szCs w:val="24"/>
        </w:rPr>
        <w:t xml:space="preserve">. </w:t>
      </w:r>
      <w:r w:rsidR="0A42144E" w:rsidRPr="3871BA8D">
        <w:rPr>
          <w:rFonts w:ascii="Times New Roman" w:eastAsia="Times New Roman" w:hAnsi="Times New Roman" w:cs="Times New Roman"/>
          <w:color w:val="000000" w:themeColor="text1"/>
          <w:sz w:val="24"/>
          <w:szCs w:val="24"/>
        </w:rPr>
        <w:t>Age (E) does not vary between patients that underwent sub-total versus near-/gross-total resection</w:t>
      </w:r>
      <w:r w:rsidR="145994ED" w:rsidRPr="3871BA8D">
        <w:rPr>
          <w:rFonts w:ascii="Times New Roman" w:eastAsia="Times New Roman" w:hAnsi="Times New Roman" w:cs="Times New Roman"/>
          <w:color w:val="000000" w:themeColor="text1"/>
          <w:sz w:val="24"/>
          <w:szCs w:val="24"/>
        </w:rPr>
        <w:t xml:space="preserve">, </w:t>
      </w:r>
      <w:proofErr w:type="spellStart"/>
      <w:r w:rsidR="145994ED" w:rsidRPr="3871BA8D">
        <w:rPr>
          <w:rFonts w:ascii="Times New Roman" w:eastAsia="Times New Roman" w:hAnsi="Times New Roman" w:cs="Times New Roman"/>
          <w:color w:val="000000" w:themeColor="text1"/>
          <w:sz w:val="24"/>
          <w:szCs w:val="24"/>
        </w:rPr>
        <w:t>n.s</w:t>
      </w:r>
      <w:proofErr w:type="spellEnd"/>
      <w:r w:rsidR="145994ED" w:rsidRPr="3871BA8D">
        <w:rPr>
          <w:rFonts w:ascii="Times New Roman" w:eastAsia="Times New Roman" w:hAnsi="Times New Roman" w:cs="Times New Roman"/>
          <w:color w:val="000000" w:themeColor="text1"/>
          <w:sz w:val="24"/>
          <w:szCs w:val="24"/>
        </w:rPr>
        <w:t xml:space="preserve">., non-significant by Mann-Whitney </w:t>
      </w:r>
      <w:r w:rsidR="145994ED" w:rsidRPr="3871BA8D">
        <w:rPr>
          <w:rFonts w:ascii="Times New Roman" w:eastAsia="Times New Roman" w:hAnsi="Times New Roman" w:cs="Times New Roman"/>
          <w:i/>
          <w:iCs/>
          <w:color w:val="000000" w:themeColor="text1"/>
          <w:sz w:val="24"/>
          <w:szCs w:val="24"/>
        </w:rPr>
        <w:t>U-</w:t>
      </w:r>
      <w:r w:rsidR="145994ED" w:rsidRPr="3871BA8D">
        <w:rPr>
          <w:rFonts w:ascii="Times New Roman" w:eastAsia="Times New Roman" w:hAnsi="Times New Roman" w:cs="Times New Roman"/>
          <w:color w:val="000000" w:themeColor="text1"/>
          <w:sz w:val="24"/>
          <w:szCs w:val="24"/>
        </w:rPr>
        <w:t>test</w:t>
      </w:r>
      <w:r w:rsidR="0A42144E" w:rsidRPr="3871BA8D">
        <w:rPr>
          <w:rFonts w:ascii="Times New Roman" w:eastAsia="Times New Roman" w:hAnsi="Times New Roman" w:cs="Times New Roman"/>
          <w:color w:val="000000" w:themeColor="text1"/>
          <w:sz w:val="24"/>
          <w:szCs w:val="24"/>
        </w:rPr>
        <w:t xml:space="preserve">. However, tumor volume (F) is significantly greater in patients who underwent </w:t>
      </w:r>
      <w:r w:rsidR="3C9DFED9" w:rsidRPr="3871BA8D">
        <w:rPr>
          <w:rFonts w:ascii="Times New Roman" w:eastAsia="Times New Roman" w:hAnsi="Times New Roman" w:cs="Times New Roman"/>
          <w:color w:val="000000" w:themeColor="text1"/>
          <w:sz w:val="24"/>
          <w:szCs w:val="24"/>
        </w:rPr>
        <w:t>sub-total resection compared to near-/gross-total resection</w:t>
      </w:r>
      <w:r w:rsidR="4929EEBA" w:rsidRPr="3871BA8D">
        <w:rPr>
          <w:rFonts w:ascii="Times New Roman" w:eastAsia="Times New Roman" w:hAnsi="Times New Roman" w:cs="Times New Roman"/>
          <w:color w:val="000000" w:themeColor="text1"/>
          <w:sz w:val="24"/>
          <w:szCs w:val="24"/>
        </w:rPr>
        <w:t>,</w:t>
      </w:r>
      <w:r w:rsidR="09039513" w:rsidRPr="3871BA8D">
        <w:rPr>
          <w:rFonts w:ascii="Times New Roman" w:eastAsia="Times New Roman" w:hAnsi="Times New Roman" w:cs="Times New Roman"/>
          <w:color w:val="000000" w:themeColor="text1"/>
          <w:sz w:val="24"/>
          <w:szCs w:val="24"/>
        </w:rPr>
        <w:t xml:space="preserve"> **</w:t>
      </w:r>
      <w:r w:rsidR="4929EEBA" w:rsidRPr="3871BA8D">
        <w:rPr>
          <w:rFonts w:ascii="Times New Roman" w:eastAsia="Times New Roman" w:hAnsi="Times New Roman" w:cs="Times New Roman"/>
          <w:i/>
          <w:iCs/>
          <w:color w:val="000000" w:themeColor="text1"/>
          <w:sz w:val="24"/>
          <w:szCs w:val="24"/>
        </w:rPr>
        <w:t>p&lt;</w:t>
      </w:r>
      <w:r w:rsidR="4929EEBA" w:rsidRPr="3871BA8D">
        <w:rPr>
          <w:rFonts w:ascii="Times New Roman" w:eastAsia="Times New Roman" w:hAnsi="Times New Roman" w:cs="Times New Roman"/>
          <w:color w:val="000000" w:themeColor="text1"/>
          <w:sz w:val="24"/>
          <w:szCs w:val="24"/>
        </w:rPr>
        <w:t xml:space="preserve">0.01 by Mann-Whitney </w:t>
      </w:r>
      <w:r w:rsidR="4929EEBA" w:rsidRPr="3871BA8D">
        <w:rPr>
          <w:rFonts w:ascii="Times New Roman" w:eastAsia="Times New Roman" w:hAnsi="Times New Roman" w:cs="Times New Roman"/>
          <w:i/>
          <w:iCs/>
          <w:color w:val="000000" w:themeColor="text1"/>
          <w:sz w:val="24"/>
          <w:szCs w:val="24"/>
        </w:rPr>
        <w:t>U-</w:t>
      </w:r>
      <w:r w:rsidR="4929EEBA" w:rsidRPr="3871BA8D">
        <w:rPr>
          <w:rFonts w:ascii="Times New Roman" w:eastAsia="Times New Roman" w:hAnsi="Times New Roman" w:cs="Times New Roman"/>
          <w:color w:val="000000" w:themeColor="text1"/>
          <w:sz w:val="24"/>
          <w:szCs w:val="24"/>
        </w:rPr>
        <w:t>test</w:t>
      </w:r>
      <w:r w:rsidR="3C9DFED9" w:rsidRPr="3871BA8D">
        <w:rPr>
          <w:rFonts w:ascii="Times New Roman" w:eastAsia="Times New Roman" w:hAnsi="Times New Roman" w:cs="Times New Roman"/>
          <w:color w:val="000000" w:themeColor="text1"/>
          <w:sz w:val="24"/>
          <w:szCs w:val="24"/>
        </w:rPr>
        <w:t xml:space="preserve">. </w:t>
      </w:r>
    </w:p>
    <w:p w14:paraId="1F76E75A" w14:textId="67447183" w:rsidR="001370D2" w:rsidRDefault="341AC30F" w:rsidP="162711E5">
      <w:pPr>
        <w:spacing w:line="480" w:lineRule="exact"/>
      </w:pPr>
      <w:r w:rsidRPr="162711E5">
        <w:rPr>
          <w:rFonts w:ascii="Times New Roman" w:eastAsia="Times New Roman" w:hAnsi="Times New Roman" w:cs="Times New Roman"/>
          <w:b/>
          <w:bCs/>
          <w:color w:val="000000" w:themeColor="text1"/>
          <w:sz w:val="24"/>
          <w:szCs w:val="24"/>
        </w:rPr>
        <w:t>Supplementary Figure S4</w:t>
      </w:r>
      <w:r w:rsidRPr="162711E5">
        <w:rPr>
          <w:rFonts w:ascii="Times New Roman" w:eastAsia="Times New Roman" w:hAnsi="Times New Roman" w:cs="Times New Roman"/>
          <w:color w:val="000000" w:themeColor="text1"/>
          <w:sz w:val="24"/>
          <w:szCs w:val="24"/>
        </w:rPr>
        <w:t xml:space="preserve">: </w:t>
      </w:r>
      <w:r w:rsidR="3C90FFC8" w:rsidRPr="162711E5">
        <w:rPr>
          <w:rFonts w:ascii="Times New Roman" w:eastAsia="Times New Roman" w:hAnsi="Times New Roman" w:cs="Times New Roman"/>
          <w:color w:val="000000" w:themeColor="text1"/>
          <w:sz w:val="24"/>
          <w:szCs w:val="24"/>
        </w:rPr>
        <w:t>Representative images of H&amp;E staining of stiff vestibular schwannoma (left column, mean stiffness of 3.89 kPa) and non-stiff vestibular schwannoma (right column, mean stiffness of 2.31 kPa) demonstrating no gross difference in the amount of Antoni A versus Antoni B tissue. Scale bar represents 100 µm. VS# represents tumor identification number.</w:t>
      </w:r>
    </w:p>
    <w:p w14:paraId="5BAA3C69" w14:textId="3E8B42C6" w:rsidR="001370D2" w:rsidRDefault="3C90FFC8" w:rsidP="0FD961C1">
      <w:pPr>
        <w:spacing w:line="480" w:lineRule="exact"/>
      </w:pPr>
      <w:r w:rsidRPr="3871BA8D">
        <w:rPr>
          <w:rFonts w:ascii="Times New Roman" w:eastAsia="Times New Roman" w:hAnsi="Times New Roman" w:cs="Times New Roman"/>
          <w:b/>
          <w:bCs/>
          <w:color w:val="000000" w:themeColor="text1"/>
          <w:sz w:val="24"/>
          <w:szCs w:val="24"/>
        </w:rPr>
        <w:t>Supplementary Figure S5:</w:t>
      </w:r>
      <w:r w:rsidRPr="3871BA8D">
        <w:rPr>
          <w:rFonts w:ascii="Times New Roman" w:eastAsia="Times New Roman" w:hAnsi="Times New Roman" w:cs="Times New Roman"/>
          <w:color w:val="000000" w:themeColor="text1"/>
          <w:sz w:val="24"/>
          <w:szCs w:val="24"/>
        </w:rPr>
        <w:t xml:space="preserve"> </w:t>
      </w:r>
      <w:r w:rsidR="341AC30F" w:rsidRPr="3871BA8D">
        <w:rPr>
          <w:rFonts w:ascii="Times New Roman" w:eastAsia="Times New Roman" w:hAnsi="Times New Roman" w:cs="Times New Roman"/>
          <w:color w:val="000000" w:themeColor="text1"/>
          <w:sz w:val="24"/>
          <w:szCs w:val="24"/>
        </w:rPr>
        <w:t>A) Representative image of a stiff (left) and non-stiff (right) vestibular schwannoma stained for CD44, a receptor for hyaluronan. B) Graphical representation demonstrating that CD44 does not correlate with MRE stiffness</w:t>
      </w:r>
      <w:r w:rsidR="67630CDF" w:rsidRPr="3871BA8D">
        <w:rPr>
          <w:rFonts w:ascii="Times New Roman" w:eastAsia="Times New Roman" w:hAnsi="Times New Roman" w:cs="Times New Roman"/>
          <w:color w:val="000000" w:themeColor="text1"/>
          <w:sz w:val="24"/>
          <w:szCs w:val="24"/>
        </w:rPr>
        <w:t xml:space="preserve">, </w:t>
      </w:r>
      <w:r w:rsidR="67630CDF" w:rsidRPr="3871BA8D">
        <w:rPr>
          <w:rFonts w:ascii="Times New Roman" w:eastAsia="Times New Roman" w:hAnsi="Times New Roman" w:cs="Times New Roman"/>
          <w:i/>
          <w:iCs/>
          <w:color w:val="000000" w:themeColor="text1"/>
          <w:sz w:val="24"/>
          <w:szCs w:val="24"/>
        </w:rPr>
        <w:t>p&gt;</w:t>
      </w:r>
      <w:r w:rsidR="67630CDF" w:rsidRPr="3871BA8D">
        <w:rPr>
          <w:rFonts w:ascii="Times New Roman" w:eastAsia="Times New Roman" w:hAnsi="Times New Roman" w:cs="Times New Roman"/>
          <w:color w:val="000000" w:themeColor="text1"/>
          <w:sz w:val="24"/>
          <w:szCs w:val="24"/>
        </w:rPr>
        <w:t>0.05 by analysis of Pearson correlation co-efficient</w:t>
      </w:r>
      <w:r w:rsidR="341AC30F" w:rsidRPr="3871BA8D">
        <w:rPr>
          <w:rFonts w:ascii="Times New Roman" w:eastAsia="Times New Roman" w:hAnsi="Times New Roman" w:cs="Times New Roman"/>
          <w:color w:val="000000" w:themeColor="text1"/>
          <w:sz w:val="24"/>
          <w:szCs w:val="24"/>
        </w:rPr>
        <w:t xml:space="preserve">. </w:t>
      </w:r>
    </w:p>
    <w:p w14:paraId="280C2AD8" w14:textId="57E95234" w:rsidR="001370D2" w:rsidRDefault="341AC30F" w:rsidP="0FD961C1">
      <w:pPr>
        <w:spacing w:line="480" w:lineRule="exact"/>
      </w:pPr>
      <w:r w:rsidRPr="3871BA8D">
        <w:rPr>
          <w:rFonts w:ascii="Times New Roman" w:eastAsia="Times New Roman" w:hAnsi="Times New Roman" w:cs="Times New Roman"/>
          <w:b/>
          <w:bCs/>
          <w:color w:val="000000" w:themeColor="text1"/>
          <w:sz w:val="24"/>
          <w:szCs w:val="24"/>
        </w:rPr>
        <w:t>Supplementary Figure S</w:t>
      </w:r>
      <w:r w:rsidR="00C653A1">
        <w:rPr>
          <w:rFonts w:ascii="Times New Roman" w:eastAsia="Times New Roman" w:hAnsi="Times New Roman" w:cs="Times New Roman"/>
          <w:b/>
          <w:bCs/>
          <w:color w:val="000000" w:themeColor="text1"/>
          <w:sz w:val="24"/>
          <w:szCs w:val="24"/>
        </w:rPr>
        <w:t>6</w:t>
      </w:r>
      <w:r w:rsidRPr="3871BA8D">
        <w:rPr>
          <w:rFonts w:ascii="Times New Roman" w:eastAsia="Times New Roman" w:hAnsi="Times New Roman" w:cs="Times New Roman"/>
          <w:color w:val="000000" w:themeColor="text1"/>
          <w:sz w:val="24"/>
          <w:szCs w:val="24"/>
        </w:rPr>
        <w:t>:</w:t>
      </w:r>
      <w:r w:rsidRPr="3871BA8D">
        <w:rPr>
          <w:rFonts w:ascii="Times New Roman" w:eastAsia="Times New Roman" w:hAnsi="Times New Roman" w:cs="Times New Roman"/>
          <w:b/>
          <w:bCs/>
          <w:color w:val="000000" w:themeColor="text1"/>
          <w:sz w:val="24"/>
          <w:szCs w:val="24"/>
        </w:rPr>
        <w:t xml:space="preserve"> Cell viability assay.</w:t>
      </w:r>
      <w:r w:rsidRPr="3871BA8D">
        <w:rPr>
          <w:rFonts w:ascii="Times New Roman" w:eastAsia="Times New Roman" w:hAnsi="Times New Roman" w:cs="Times New Roman"/>
          <w:color w:val="000000" w:themeColor="text1"/>
          <w:sz w:val="24"/>
          <w:szCs w:val="24"/>
        </w:rPr>
        <w:t xml:space="preserve">  Graphical representation of the MTT assay for cell viability performed on the HEI-193 cells. The viability of cells was negatively impacted (&lt; 80% viability) at doses of TNF-α greater than 40 ng/</w:t>
      </w:r>
      <w:proofErr w:type="spellStart"/>
      <w:r w:rsidRPr="3871BA8D">
        <w:rPr>
          <w:rFonts w:ascii="Times New Roman" w:eastAsia="Times New Roman" w:hAnsi="Times New Roman" w:cs="Times New Roman"/>
          <w:color w:val="000000" w:themeColor="text1"/>
          <w:sz w:val="24"/>
          <w:szCs w:val="24"/>
        </w:rPr>
        <w:t>mL.</w:t>
      </w:r>
      <w:proofErr w:type="spellEnd"/>
      <w:r w:rsidRPr="3871BA8D">
        <w:rPr>
          <w:rFonts w:ascii="Times New Roman" w:eastAsia="Times New Roman" w:hAnsi="Times New Roman" w:cs="Times New Roman"/>
          <w:color w:val="000000" w:themeColor="text1"/>
          <w:sz w:val="24"/>
          <w:szCs w:val="24"/>
        </w:rPr>
        <w:t xml:space="preserve"> Cell viability was normalized to the viability of HEI-193 cells in DMEM only with no addition of TNF-α (media-only).</w:t>
      </w:r>
      <w:r w:rsidR="52FE7A1E" w:rsidRPr="3871BA8D">
        <w:rPr>
          <w:rFonts w:ascii="Times New Roman" w:eastAsia="Times New Roman" w:hAnsi="Times New Roman" w:cs="Times New Roman"/>
          <w:color w:val="000000" w:themeColor="text1"/>
          <w:sz w:val="24"/>
          <w:szCs w:val="24"/>
        </w:rPr>
        <w:t xml:space="preserve"> **p&lt;0.01, </w:t>
      </w:r>
      <w:proofErr w:type="spellStart"/>
      <w:r w:rsidR="52FE7A1E" w:rsidRPr="3871BA8D">
        <w:rPr>
          <w:rFonts w:ascii="Times New Roman" w:eastAsia="Times New Roman" w:hAnsi="Times New Roman" w:cs="Times New Roman"/>
          <w:color w:val="000000" w:themeColor="text1"/>
          <w:sz w:val="24"/>
          <w:szCs w:val="24"/>
        </w:rPr>
        <w:t>n.s</w:t>
      </w:r>
      <w:proofErr w:type="spellEnd"/>
      <w:r w:rsidR="52FE7A1E" w:rsidRPr="3871BA8D">
        <w:rPr>
          <w:rFonts w:ascii="Times New Roman" w:eastAsia="Times New Roman" w:hAnsi="Times New Roman" w:cs="Times New Roman"/>
          <w:color w:val="000000" w:themeColor="text1"/>
          <w:sz w:val="24"/>
          <w:szCs w:val="24"/>
        </w:rPr>
        <w:t xml:space="preserve">., non-significant, by one-way ANOVA with Bonferroni correction. </w:t>
      </w:r>
    </w:p>
    <w:p w14:paraId="04041F6D" w14:textId="688D27B8" w:rsidR="001370D2" w:rsidRDefault="001370D2" w:rsidP="001370D2">
      <w:pPr>
        <w:spacing w:line="480" w:lineRule="auto"/>
        <w:rPr>
          <w:rFonts w:ascii="Times New Roman" w:eastAsia="Times New Roman" w:hAnsi="Times New Roman" w:cs="Times New Roman"/>
          <w:sz w:val="24"/>
          <w:szCs w:val="24"/>
        </w:rPr>
      </w:pPr>
      <w:r w:rsidRPr="0FD961C1">
        <w:rPr>
          <w:rFonts w:ascii="Times New Roman" w:eastAsia="Times New Roman" w:hAnsi="Times New Roman" w:cs="Times New Roman"/>
          <w:sz w:val="24"/>
          <w:szCs w:val="24"/>
        </w:rPr>
        <w:t xml:space="preserve"> </w:t>
      </w:r>
    </w:p>
    <w:p w14:paraId="2D364DB9" w14:textId="77777777" w:rsidR="001370D2" w:rsidRDefault="001370D2" w:rsidP="001370D2">
      <w:pPr>
        <w:spacing w:line="480" w:lineRule="auto"/>
        <w:jc w:val="center"/>
        <w:rPr>
          <w:rFonts w:ascii="Times New Roman" w:eastAsia="Times New Roman" w:hAnsi="Times New Roman" w:cs="Times New Roman"/>
          <w:b/>
          <w:bCs/>
          <w:sz w:val="28"/>
          <w:szCs w:val="28"/>
        </w:rPr>
      </w:pPr>
    </w:p>
    <w:p w14:paraId="175083BB" w14:textId="77777777" w:rsidR="001370D2" w:rsidRDefault="001370D2" w:rsidP="001370D2">
      <w:pPr>
        <w:spacing w:line="480" w:lineRule="auto"/>
        <w:jc w:val="center"/>
        <w:rPr>
          <w:rFonts w:ascii="Times New Roman" w:eastAsia="Times New Roman" w:hAnsi="Times New Roman" w:cs="Times New Roman"/>
          <w:b/>
          <w:bCs/>
          <w:sz w:val="28"/>
          <w:szCs w:val="28"/>
        </w:rPr>
      </w:pPr>
      <w:r w:rsidRPr="7BB72243">
        <w:rPr>
          <w:rFonts w:ascii="Times New Roman" w:eastAsia="Times New Roman" w:hAnsi="Times New Roman" w:cs="Times New Roman"/>
          <w:b/>
          <w:bCs/>
          <w:sz w:val="28"/>
          <w:szCs w:val="28"/>
        </w:rPr>
        <w:t>Supplementary Methods</w:t>
      </w:r>
    </w:p>
    <w:p w14:paraId="64E1691C" w14:textId="77777777" w:rsidR="00B03C92" w:rsidRDefault="00B03C92" w:rsidP="001370D2">
      <w:pPr>
        <w:spacing w:line="480" w:lineRule="auto"/>
        <w:jc w:val="center"/>
        <w:rPr>
          <w:rFonts w:ascii="Times New Roman" w:eastAsia="Times New Roman" w:hAnsi="Times New Roman" w:cs="Times New Roman"/>
          <w:b/>
          <w:bCs/>
          <w:sz w:val="28"/>
          <w:szCs w:val="28"/>
        </w:rPr>
      </w:pPr>
    </w:p>
    <w:p w14:paraId="06DA6864" w14:textId="77777777" w:rsidR="001370D2" w:rsidRDefault="001370D2" w:rsidP="001370D2">
      <w:pPr>
        <w:spacing w:line="480" w:lineRule="auto"/>
        <w:rPr>
          <w:rFonts w:ascii="Times New Roman" w:eastAsia="Times New Roman" w:hAnsi="Times New Roman" w:cs="Times New Roman"/>
          <w:b/>
          <w:bCs/>
          <w:i/>
          <w:iCs/>
          <w:sz w:val="24"/>
          <w:szCs w:val="24"/>
        </w:rPr>
      </w:pPr>
      <w:r w:rsidRPr="7BB72243">
        <w:rPr>
          <w:rFonts w:ascii="Times New Roman" w:eastAsia="Times New Roman" w:hAnsi="Times New Roman" w:cs="Times New Roman"/>
          <w:b/>
          <w:bCs/>
          <w:i/>
          <w:iCs/>
          <w:sz w:val="24"/>
          <w:szCs w:val="24"/>
        </w:rPr>
        <w:lastRenderedPageBreak/>
        <w:t xml:space="preserve">Immunohistochemistry </w:t>
      </w:r>
    </w:p>
    <w:p w14:paraId="03E37470" w14:textId="77777777" w:rsidR="001370D2" w:rsidRDefault="001370D2" w:rsidP="001370D2">
      <w:pPr>
        <w:spacing w:line="480" w:lineRule="auto"/>
        <w:ind w:firstLine="720"/>
        <w:rPr>
          <w:rFonts w:ascii="Times New Roman" w:eastAsia="Times New Roman" w:hAnsi="Times New Roman" w:cs="Times New Roman"/>
          <w:sz w:val="24"/>
          <w:szCs w:val="24"/>
        </w:rPr>
      </w:pPr>
      <w:r w:rsidRPr="7BB72243">
        <w:rPr>
          <w:rFonts w:ascii="Times New Roman" w:eastAsia="Times New Roman" w:hAnsi="Times New Roman" w:cs="Times New Roman"/>
          <w:sz w:val="24"/>
          <w:szCs w:val="24"/>
        </w:rPr>
        <w:t xml:space="preserve">Formalin-fixed, paraffin-embedded tumor slides (sectioned at 4 microns) were baked at 60℃ for 30 minutes, deparaffinized, underwent heat-induced epitope retrieval. Next, endogenous peroxidase activity was quenched with 1% hydrogen peroxide and subsequently blocked with animal-free blocker (Vector Labs, Newark, CA). Immunohistochemical staining (IHC) was performed with: Hyaluronan (HA, 1:300, </w:t>
      </w:r>
      <w:proofErr w:type="spellStart"/>
      <w:r w:rsidRPr="7BB72243">
        <w:rPr>
          <w:rFonts w:ascii="Times New Roman" w:eastAsia="Times New Roman" w:hAnsi="Times New Roman" w:cs="Times New Roman"/>
          <w:sz w:val="24"/>
          <w:szCs w:val="24"/>
        </w:rPr>
        <w:t>GeneTex</w:t>
      </w:r>
      <w:proofErr w:type="spellEnd"/>
      <w:r w:rsidRPr="7BB72243">
        <w:rPr>
          <w:rFonts w:ascii="Times New Roman" w:eastAsia="Times New Roman" w:hAnsi="Times New Roman" w:cs="Times New Roman"/>
          <w:sz w:val="24"/>
          <w:szCs w:val="24"/>
        </w:rPr>
        <w:t xml:space="preserve">), CD44 (1:200 Dako Clone: DF1485), CD68 (1:7000 Dako Clone: KP-1), CD163 (1:900 Leica Clone: 10D6), Alpha-SMA (1:600 Dako Clone: 1A4). For each antibody, appropriate negative controls were utilized to perform IHC optimization. All primary antibodies were tested using human tonsil tissue as a positive control. A Leica Bond III automated stainer (Leica Biosystems, </w:t>
      </w:r>
      <w:proofErr w:type="spellStart"/>
      <w:r w:rsidRPr="7BB72243">
        <w:rPr>
          <w:rFonts w:ascii="Times New Roman" w:eastAsia="Times New Roman" w:hAnsi="Times New Roman" w:cs="Times New Roman"/>
          <w:sz w:val="24"/>
          <w:szCs w:val="24"/>
        </w:rPr>
        <w:t>Nussloch</w:t>
      </w:r>
      <w:proofErr w:type="spellEnd"/>
      <w:r w:rsidRPr="7BB72243">
        <w:rPr>
          <w:rFonts w:ascii="Times New Roman" w:eastAsia="Times New Roman" w:hAnsi="Times New Roman" w:cs="Times New Roman"/>
          <w:sz w:val="24"/>
          <w:szCs w:val="24"/>
        </w:rPr>
        <w:t xml:space="preserve">, Germany) was used to stain for Alpha-SMA, CD44, CD68, and CD163. Briefly, primary antibodies were incubated overnight at 4℃ in a humidified chamber and the respective secondary antibodies conjugated to horseradish peroxidase (Vector Labs, Newark, CA) were added and incubated for 30 minutes at room temperature. The staining was visualized with 3,3’-diaminobenzidine (DAB) HRP substrate kit (Vector Labs, Newark, CA) and counterstained with hematoxylin. </w:t>
      </w:r>
    </w:p>
    <w:p w14:paraId="47F69154" w14:textId="77777777" w:rsidR="001370D2" w:rsidRDefault="001370D2" w:rsidP="001370D2">
      <w:pPr>
        <w:spacing w:line="480" w:lineRule="auto"/>
        <w:ind w:firstLine="720"/>
        <w:rPr>
          <w:rFonts w:ascii="Times New Roman" w:eastAsia="Times New Roman" w:hAnsi="Times New Roman" w:cs="Times New Roman"/>
          <w:sz w:val="24"/>
          <w:szCs w:val="24"/>
        </w:rPr>
      </w:pPr>
      <w:r w:rsidRPr="7BB72243">
        <w:rPr>
          <w:rFonts w:ascii="Times New Roman" w:eastAsia="Times New Roman" w:hAnsi="Times New Roman" w:cs="Times New Roman"/>
          <w:sz w:val="24"/>
          <w:szCs w:val="24"/>
        </w:rPr>
        <w:t xml:space="preserve">For immunofluorescence (IF) staining, HEI-193 cells were seeded and cultured on glass coverslips for 48 hours before being fixed using 4% PFA. Staining was performed for HAS1 (1:250, Invitrogen PA595599), HAS2 (1:200, Invitrogen PA5115388), HAS3 (1:250, PA589266). Primary antibodies were incubated overnight at 4℃ and the secondary antibody (donkey anti-rabbit, 1:500, </w:t>
      </w:r>
      <w:proofErr w:type="spellStart"/>
      <w:r w:rsidRPr="7BB72243">
        <w:rPr>
          <w:rFonts w:ascii="Times New Roman" w:eastAsia="Times New Roman" w:hAnsi="Times New Roman" w:cs="Times New Roman"/>
          <w:sz w:val="24"/>
          <w:szCs w:val="24"/>
        </w:rPr>
        <w:t>AlexaFluoro</w:t>
      </w:r>
      <w:proofErr w:type="spellEnd"/>
      <w:r w:rsidRPr="7BB72243">
        <w:rPr>
          <w:rFonts w:ascii="Times New Roman" w:eastAsia="Times New Roman" w:hAnsi="Times New Roman" w:cs="Times New Roman"/>
          <w:sz w:val="24"/>
          <w:szCs w:val="24"/>
        </w:rPr>
        <w:t xml:space="preserve"> 594, Invitrogen) was incubated for 1 hour at room temperature. </w:t>
      </w:r>
    </w:p>
    <w:p w14:paraId="59321689" w14:textId="77777777" w:rsidR="001370D2" w:rsidRDefault="001370D2" w:rsidP="001370D2">
      <w:pPr>
        <w:spacing w:line="480" w:lineRule="auto"/>
        <w:ind w:firstLine="720"/>
        <w:rPr>
          <w:rFonts w:ascii="Times New Roman" w:eastAsia="Times New Roman" w:hAnsi="Times New Roman" w:cs="Times New Roman"/>
          <w:sz w:val="24"/>
          <w:szCs w:val="24"/>
        </w:rPr>
      </w:pPr>
      <w:r w:rsidRPr="7BB72243">
        <w:rPr>
          <w:rFonts w:ascii="Times New Roman" w:eastAsia="Times New Roman" w:hAnsi="Times New Roman" w:cs="Times New Roman"/>
          <w:sz w:val="24"/>
          <w:szCs w:val="24"/>
        </w:rPr>
        <w:lastRenderedPageBreak/>
        <w:t xml:space="preserve">For IF of the VS tumors (n=4/antibody), the slides were deparaffinized and stained using antibodies against HAS1 (1:200), HAS2 (1:100), and HAS3 (1:200) and appropriate secondaries. Slides were imaged using the Olympus FV3000 confocal system at identical laser settings.  </w:t>
      </w:r>
    </w:p>
    <w:p w14:paraId="7197697F" w14:textId="77777777" w:rsidR="001370D2" w:rsidRDefault="001370D2" w:rsidP="001370D2">
      <w:pPr>
        <w:spacing w:line="480" w:lineRule="auto"/>
        <w:rPr>
          <w:rFonts w:ascii="Times New Roman" w:eastAsia="Times New Roman" w:hAnsi="Times New Roman" w:cs="Times New Roman"/>
          <w:b/>
          <w:bCs/>
          <w:i/>
          <w:iCs/>
          <w:sz w:val="24"/>
          <w:szCs w:val="24"/>
        </w:rPr>
      </w:pPr>
      <w:r w:rsidRPr="7BB72243">
        <w:rPr>
          <w:rFonts w:ascii="Times New Roman" w:eastAsia="Times New Roman" w:hAnsi="Times New Roman" w:cs="Times New Roman"/>
          <w:b/>
          <w:bCs/>
          <w:i/>
          <w:iCs/>
          <w:sz w:val="24"/>
          <w:szCs w:val="24"/>
        </w:rPr>
        <w:t>Quantification of Immunohistochemical Staining</w:t>
      </w:r>
    </w:p>
    <w:p w14:paraId="58B72446" w14:textId="77777777" w:rsidR="001370D2" w:rsidRDefault="001370D2" w:rsidP="001370D2">
      <w:pPr>
        <w:spacing w:line="480" w:lineRule="auto"/>
        <w:ind w:firstLine="720"/>
        <w:rPr>
          <w:rFonts w:ascii="Times New Roman" w:eastAsia="Times New Roman" w:hAnsi="Times New Roman" w:cs="Times New Roman"/>
          <w:sz w:val="24"/>
          <w:szCs w:val="24"/>
        </w:rPr>
      </w:pPr>
      <w:r w:rsidRPr="7BB72243">
        <w:rPr>
          <w:rFonts w:ascii="Times New Roman" w:eastAsia="Times New Roman" w:hAnsi="Times New Roman" w:cs="Times New Roman"/>
          <w:sz w:val="24"/>
          <w:szCs w:val="24"/>
        </w:rPr>
        <w:t xml:space="preserve">Whole digital slides were created using Zeiss AxioScan.Z1 slide scanner at 40x magnification and images captured with the Aperio </w:t>
      </w:r>
      <w:proofErr w:type="spellStart"/>
      <w:r w:rsidRPr="7BB72243">
        <w:rPr>
          <w:rFonts w:ascii="Times New Roman" w:eastAsia="Times New Roman" w:hAnsi="Times New Roman" w:cs="Times New Roman"/>
          <w:sz w:val="24"/>
          <w:szCs w:val="24"/>
        </w:rPr>
        <w:t>ImageScope</w:t>
      </w:r>
      <w:proofErr w:type="spellEnd"/>
      <w:r w:rsidRPr="7BB72243">
        <w:rPr>
          <w:rFonts w:ascii="Times New Roman" w:eastAsia="Times New Roman" w:hAnsi="Times New Roman" w:cs="Times New Roman"/>
          <w:sz w:val="24"/>
          <w:szCs w:val="24"/>
        </w:rPr>
        <w:t xml:space="preserve"> v.12 software (Leica Biosystems). For quantification of Hyaluronan, CD44, and the cellular components of the tumor microenvironment (Alpha-SMA, CD68, and CD163), the images were converted to 16-bit contiguous TIFFs and imported into FIJI (NIH ImageJ). The respective IHC staining pixel intensities were then calculated as previously described (Zhang 2023). Briefly, the pixel intensity histogram was calculated through automated color-deconvolution algorithms in FIJI, and the mean number of positive pixels was normalized to the total tumor volume for each biomarker. </w:t>
      </w:r>
    </w:p>
    <w:p w14:paraId="04F763EE" w14:textId="77777777" w:rsidR="001370D2" w:rsidRDefault="001370D2" w:rsidP="001370D2">
      <w:pPr>
        <w:spacing w:line="480" w:lineRule="auto"/>
        <w:rPr>
          <w:rFonts w:ascii="Times New Roman" w:eastAsia="Times New Roman" w:hAnsi="Times New Roman" w:cs="Times New Roman"/>
          <w:b/>
          <w:bCs/>
          <w:i/>
          <w:iCs/>
          <w:sz w:val="24"/>
          <w:szCs w:val="24"/>
        </w:rPr>
      </w:pPr>
      <w:r w:rsidRPr="7BB72243">
        <w:rPr>
          <w:rFonts w:ascii="Times New Roman" w:eastAsia="Times New Roman" w:hAnsi="Times New Roman" w:cs="Times New Roman"/>
          <w:b/>
          <w:bCs/>
          <w:i/>
          <w:iCs/>
          <w:sz w:val="24"/>
          <w:szCs w:val="24"/>
        </w:rPr>
        <w:t>ELISA on Human Primary Tumor Secretions</w:t>
      </w:r>
    </w:p>
    <w:p w14:paraId="21C1546A" w14:textId="77777777" w:rsidR="001370D2" w:rsidRDefault="001370D2" w:rsidP="001370D2">
      <w:pPr>
        <w:spacing w:line="480" w:lineRule="auto"/>
        <w:ind w:firstLine="720"/>
        <w:rPr>
          <w:rFonts w:ascii="Times New Roman" w:eastAsia="Times New Roman" w:hAnsi="Times New Roman" w:cs="Times New Roman"/>
          <w:sz w:val="24"/>
          <w:szCs w:val="24"/>
        </w:rPr>
      </w:pPr>
      <w:r w:rsidRPr="7BB72243">
        <w:rPr>
          <w:rFonts w:ascii="Times New Roman" w:eastAsia="Times New Roman" w:hAnsi="Times New Roman" w:cs="Times New Roman"/>
          <w:sz w:val="24"/>
          <w:szCs w:val="24"/>
        </w:rPr>
        <w:t xml:space="preserve">Fresh human primary tumor samples were prospectively collected from the operating room following microsurgical resection. Primary tumor cultures were established after tumor samples were placed in DMEM (GIBCO) and incubated in 37C for 72-hours with 5% CO2. Tumor secretions were collected by aspirating conditioned media after 72-hours. </w:t>
      </w:r>
    </w:p>
    <w:p w14:paraId="10D02DC5" w14:textId="77777777" w:rsidR="001370D2" w:rsidRDefault="001370D2" w:rsidP="001370D2">
      <w:pPr>
        <w:spacing w:line="480" w:lineRule="auto"/>
        <w:ind w:firstLine="720"/>
        <w:rPr>
          <w:rFonts w:ascii="Times New Roman" w:eastAsia="Times New Roman" w:hAnsi="Times New Roman" w:cs="Times New Roman"/>
          <w:sz w:val="24"/>
          <w:szCs w:val="24"/>
        </w:rPr>
      </w:pPr>
      <w:r w:rsidRPr="7BB72243">
        <w:rPr>
          <w:rFonts w:ascii="Times New Roman" w:eastAsia="Times New Roman" w:hAnsi="Times New Roman" w:cs="Times New Roman"/>
          <w:sz w:val="24"/>
          <w:szCs w:val="24"/>
        </w:rPr>
        <w:t xml:space="preserve">An enzyme-linked immunosorbent assay (ELISAs) for tumor-necrosis factor-alpha (TNF-alpha) (Abcam, Ab181421) was performed according to manufacturer protocols using the secretion-containing condition media. </w:t>
      </w:r>
    </w:p>
    <w:p w14:paraId="1D788814" w14:textId="77777777" w:rsidR="001370D2" w:rsidRDefault="001370D2" w:rsidP="001370D2">
      <w:pPr>
        <w:spacing w:line="480" w:lineRule="auto"/>
        <w:rPr>
          <w:rFonts w:ascii="Times New Roman" w:eastAsia="Times New Roman" w:hAnsi="Times New Roman" w:cs="Times New Roman"/>
          <w:b/>
          <w:bCs/>
          <w:i/>
          <w:iCs/>
          <w:sz w:val="24"/>
          <w:szCs w:val="24"/>
        </w:rPr>
      </w:pPr>
      <w:r w:rsidRPr="7BB72243">
        <w:rPr>
          <w:rFonts w:ascii="Times New Roman" w:eastAsia="Times New Roman" w:hAnsi="Times New Roman" w:cs="Times New Roman"/>
          <w:b/>
          <w:bCs/>
          <w:i/>
          <w:iCs/>
          <w:sz w:val="24"/>
          <w:szCs w:val="24"/>
        </w:rPr>
        <w:t xml:space="preserve">Cell Culture </w:t>
      </w:r>
    </w:p>
    <w:p w14:paraId="340932DF" w14:textId="77777777" w:rsidR="001370D2" w:rsidRDefault="001370D2" w:rsidP="001370D2">
      <w:pPr>
        <w:spacing w:line="480" w:lineRule="auto"/>
        <w:ind w:firstLine="720"/>
        <w:rPr>
          <w:rFonts w:ascii="Times New Roman" w:eastAsia="Times New Roman" w:hAnsi="Times New Roman" w:cs="Times New Roman"/>
          <w:sz w:val="24"/>
          <w:szCs w:val="24"/>
        </w:rPr>
      </w:pPr>
      <w:r w:rsidRPr="7BB72243">
        <w:rPr>
          <w:rFonts w:ascii="Times New Roman" w:eastAsia="Times New Roman" w:hAnsi="Times New Roman" w:cs="Times New Roman"/>
          <w:sz w:val="24"/>
          <w:szCs w:val="24"/>
        </w:rPr>
        <w:lastRenderedPageBreak/>
        <w:t xml:space="preserve">An immortalized human NF2 vestibular schwannoma cell line (HEI-193, gift from Dr. M. Giovannini, UCLA) and a control wild-type immortalized human Schwann cells (HSC, ATCC) were cultured in complete DMEM supplemented with 10% FBS, 10 mL/L penicillin-streptomycin (Pen Strep), and 10 µM forskolin. HEI-193 cells were plated in a 24-well plate at 500,000 cells per well, allowed to reach confluency in 48-72-hours, and treated with recombinant human TNF-alpha (R&amp;D Systems). for 12 hours. An MTT assay (Abcam, Ab211091) was also performed. Both cell lysates and conditioned media were collected after 12 hours. This experiment was repeated four times independently for each variable. </w:t>
      </w:r>
    </w:p>
    <w:p w14:paraId="5FF1530D" w14:textId="77777777" w:rsidR="001370D2" w:rsidRDefault="001370D2" w:rsidP="001370D2">
      <w:pPr>
        <w:spacing w:line="480" w:lineRule="auto"/>
        <w:rPr>
          <w:rFonts w:ascii="Times New Roman" w:eastAsia="Times New Roman" w:hAnsi="Times New Roman" w:cs="Times New Roman"/>
          <w:b/>
          <w:bCs/>
          <w:i/>
          <w:iCs/>
          <w:sz w:val="24"/>
          <w:szCs w:val="24"/>
        </w:rPr>
      </w:pPr>
      <w:proofErr w:type="spellStart"/>
      <w:r w:rsidRPr="7BB72243">
        <w:rPr>
          <w:rFonts w:ascii="Times New Roman" w:eastAsia="Times New Roman" w:hAnsi="Times New Roman" w:cs="Times New Roman"/>
          <w:b/>
          <w:bCs/>
          <w:i/>
          <w:iCs/>
          <w:sz w:val="24"/>
          <w:szCs w:val="24"/>
        </w:rPr>
        <w:t>qRT</w:t>
      </w:r>
      <w:proofErr w:type="spellEnd"/>
      <w:r w:rsidRPr="7BB72243">
        <w:rPr>
          <w:rFonts w:ascii="Times New Roman" w:eastAsia="Times New Roman" w:hAnsi="Times New Roman" w:cs="Times New Roman"/>
          <w:b/>
          <w:bCs/>
          <w:i/>
          <w:iCs/>
          <w:sz w:val="24"/>
          <w:szCs w:val="24"/>
        </w:rPr>
        <w:t>-PCR</w:t>
      </w:r>
    </w:p>
    <w:p w14:paraId="480C02D9" w14:textId="424DF507" w:rsidR="001370D2" w:rsidRDefault="001370D2" w:rsidP="001370D2">
      <w:pPr>
        <w:spacing w:line="480" w:lineRule="auto"/>
        <w:ind w:firstLine="720"/>
        <w:rPr>
          <w:rFonts w:ascii="Times New Roman" w:eastAsia="Times New Roman" w:hAnsi="Times New Roman" w:cs="Times New Roman"/>
          <w:sz w:val="24"/>
          <w:szCs w:val="24"/>
        </w:rPr>
      </w:pPr>
      <w:r w:rsidRPr="019C386D">
        <w:rPr>
          <w:rFonts w:ascii="Times New Roman" w:eastAsia="Times New Roman" w:hAnsi="Times New Roman" w:cs="Times New Roman"/>
          <w:sz w:val="24"/>
          <w:szCs w:val="24"/>
        </w:rPr>
        <w:t>RNA was extracted using the Qiagen RNeasy kit, reverse transcribed, and one microliter of cDNA was added to the SYBR Green master mix alongside respective forward and reverse primers.</w:t>
      </w:r>
      <w:r w:rsidR="00EA0C69">
        <w:rPr>
          <w:rFonts w:ascii="Times New Roman" w:eastAsia="Times New Roman" w:hAnsi="Times New Roman" w:cs="Times New Roman"/>
          <w:sz w:val="24"/>
          <w:szCs w:val="24"/>
        </w:rPr>
        <w:t xml:space="preserve"> The following primer sequences were used: for </w:t>
      </w:r>
      <w:r w:rsidR="00EA0C69" w:rsidRPr="00EA0C69">
        <w:rPr>
          <w:rFonts w:ascii="Times New Roman" w:eastAsia="Times New Roman" w:hAnsi="Times New Roman" w:cs="Times New Roman"/>
          <w:i/>
          <w:iCs/>
          <w:sz w:val="24"/>
          <w:szCs w:val="24"/>
        </w:rPr>
        <w:t>GAPDH</w:t>
      </w:r>
      <w:r w:rsidR="00EA0C69">
        <w:rPr>
          <w:rFonts w:ascii="Times New Roman" w:eastAsia="Times New Roman" w:hAnsi="Times New Roman" w:cs="Times New Roman"/>
          <w:sz w:val="24"/>
          <w:szCs w:val="24"/>
        </w:rPr>
        <w:t>, the forward primer is 5’-</w:t>
      </w:r>
      <w:r w:rsidR="00EA0C69" w:rsidRPr="00EA0C69">
        <w:rPr>
          <w:rFonts w:ascii="Times New Roman" w:eastAsia="Times New Roman" w:hAnsi="Times New Roman" w:cs="Times New Roman"/>
          <w:sz w:val="24"/>
          <w:szCs w:val="24"/>
        </w:rPr>
        <w:t>GGATTTGGTCGTATTGGG</w:t>
      </w:r>
      <w:r w:rsidR="00EA0C69">
        <w:rPr>
          <w:rFonts w:ascii="Times New Roman" w:eastAsia="Times New Roman" w:hAnsi="Times New Roman" w:cs="Times New Roman"/>
          <w:sz w:val="24"/>
          <w:szCs w:val="24"/>
        </w:rPr>
        <w:t>-3’ and the reverse is 5’-</w:t>
      </w:r>
      <w:r w:rsidRPr="019C386D">
        <w:rPr>
          <w:rFonts w:ascii="Times New Roman" w:eastAsia="Times New Roman" w:hAnsi="Times New Roman" w:cs="Times New Roman"/>
          <w:sz w:val="24"/>
          <w:szCs w:val="24"/>
        </w:rPr>
        <w:t xml:space="preserve"> </w:t>
      </w:r>
      <w:r w:rsidR="00EA0C69" w:rsidRPr="00EA0C69">
        <w:rPr>
          <w:rFonts w:ascii="Times New Roman" w:eastAsia="Times New Roman" w:hAnsi="Times New Roman" w:cs="Times New Roman"/>
          <w:sz w:val="24"/>
          <w:szCs w:val="24"/>
        </w:rPr>
        <w:t>GGAAGATGGTGATGGGATT</w:t>
      </w:r>
      <w:r w:rsidR="00EA0C69">
        <w:rPr>
          <w:rFonts w:ascii="Times New Roman" w:eastAsia="Times New Roman" w:hAnsi="Times New Roman" w:cs="Times New Roman"/>
          <w:sz w:val="24"/>
          <w:szCs w:val="24"/>
        </w:rPr>
        <w:t xml:space="preserve">-3’; for </w:t>
      </w:r>
      <w:r w:rsidR="00EA0C69" w:rsidRPr="00EA0C69">
        <w:rPr>
          <w:rFonts w:ascii="Times New Roman" w:eastAsia="Times New Roman" w:hAnsi="Times New Roman" w:cs="Times New Roman"/>
          <w:i/>
          <w:iCs/>
          <w:sz w:val="24"/>
          <w:szCs w:val="24"/>
        </w:rPr>
        <w:t>HAS1</w:t>
      </w:r>
      <w:r w:rsidR="00EA0C69">
        <w:rPr>
          <w:rFonts w:ascii="Times New Roman" w:eastAsia="Times New Roman" w:hAnsi="Times New Roman" w:cs="Times New Roman"/>
          <w:sz w:val="24"/>
          <w:szCs w:val="24"/>
        </w:rPr>
        <w:t>, the forward primer is 5’-</w:t>
      </w:r>
      <w:r w:rsidR="00EA0C69" w:rsidRPr="00EA0C69">
        <w:t xml:space="preserve"> </w:t>
      </w:r>
      <w:r w:rsidR="00EA0C69" w:rsidRPr="00EA0C69">
        <w:rPr>
          <w:rFonts w:ascii="Times New Roman" w:eastAsia="Times New Roman" w:hAnsi="Times New Roman" w:cs="Times New Roman"/>
          <w:sz w:val="24"/>
          <w:szCs w:val="24"/>
        </w:rPr>
        <w:t>CAAGATTCTTCAGTCTGGAC</w:t>
      </w:r>
      <w:r w:rsidR="00EA0C69">
        <w:rPr>
          <w:rFonts w:ascii="Times New Roman" w:eastAsia="Times New Roman" w:hAnsi="Times New Roman" w:cs="Times New Roman"/>
          <w:sz w:val="24"/>
          <w:szCs w:val="24"/>
        </w:rPr>
        <w:t>-3’ and the reverse is 5’-</w:t>
      </w:r>
      <w:r w:rsidR="00EA0C69" w:rsidRPr="00EA0C69">
        <w:t xml:space="preserve"> </w:t>
      </w:r>
      <w:r w:rsidR="00EA0C69" w:rsidRPr="00EA0C69">
        <w:rPr>
          <w:rFonts w:ascii="Times New Roman" w:eastAsia="Times New Roman" w:hAnsi="Times New Roman" w:cs="Times New Roman"/>
          <w:sz w:val="24"/>
          <w:szCs w:val="24"/>
        </w:rPr>
        <w:t>TAAGAACGAGGAGAAAGCAG</w:t>
      </w:r>
      <w:r w:rsidR="00EA0C69">
        <w:rPr>
          <w:rFonts w:ascii="Times New Roman" w:eastAsia="Times New Roman" w:hAnsi="Times New Roman" w:cs="Times New Roman"/>
          <w:sz w:val="24"/>
          <w:szCs w:val="24"/>
        </w:rPr>
        <w:t xml:space="preserve">-3’; for </w:t>
      </w:r>
      <w:r w:rsidR="00EA0C69" w:rsidRPr="00B03C92">
        <w:rPr>
          <w:rFonts w:ascii="Times New Roman" w:eastAsia="Times New Roman" w:hAnsi="Times New Roman" w:cs="Times New Roman"/>
          <w:i/>
          <w:iCs/>
          <w:sz w:val="24"/>
          <w:szCs w:val="24"/>
        </w:rPr>
        <w:t>HAS2,</w:t>
      </w:r>
      <w:r w:rsidR="00EA0C69">
        <w:rPr>
          <w:rFonts w:ascii="Times New Roman" w:eastAsia="Times New Roman" w:hAnsi="Times New Roman" w:cs="Times New Roman"/>
          <w:sz w:val="24"/>
          <w:szCs w:val="24"/>
        </w:rPr>
        <w:t xml:space="preserve"> the forward primer is 5’- </w:t>
      </w:r>
      <w:r w:rsidR="00B03C92" w:rsidRPr="00B03C92">
        <w:rPr>
          <w:rFonts w:ascii="Times New Roman" w:eastAsia="Times New Roman" w:hAnsi="Times New Roman" w:cs="Times New Roman"/>
          <w:sz w:val="24"/>
          <w:szCs w:val="24"/>
        </w:rPr>
        <w:t>GTCATGTACACAGCCTTCAGAGC</w:t>
      </w:r>
      <w:r w:rsidR="00B03C92">
        <w:rPr>
          <w:rFonts w:ascii="Times New Roman" w:eastAsia="Times New Roman" w:hAnsi="Times New Roman" w:cs="Times New Roman"/>
          <w:sz w:val="24"/>
          <w:szCs w:val="24"/>
        </w:rPr>
        <w:t>-3’ and the reverse is 5’-</w:t>
      </w:r>
      <w:r w:rsidR="00B03C92" w:rsidRPr="00B03C92">
        <w:rPr>
          <w:rFonts w:ascii="Times New Roman" w:eastAsia="Times New Roman" w:hAnsi="Times New Roman" w:cs="Times New Roman"/>
          <w:sz w:val="24"/>
          <w:szCs w:val="24"/>
        </w:rPr>
        <w:t>ACAGATGAGGCTGGGTCAAGCA</w:t>
      </w:r>
      <w:r w:rsidR="00B03C92">
        <w:rPr>
          <w:rFonts w:ascii="Times New Roman" w:eastAsia="Times New Roman" w:hAnsi="Times New Roman" w:cs="Times New Roman"/>
          <w:sz w:val="24"/>
          <w:szCs w:val="24"/>
        </w:rPr>
        <w:t xml:space="preserve">-3’; and for </w:t>
      </w:r>
      <w:r w:rsidR="00B03C92" w:rsidRPr="00B03C92">
        <w:rPr>
          <w:rFonts w:ascii="Times New Roman" w:eastAsia="Times New Roman" w:hAnsi="Times New Roman" w:cs="Times New Roman"/>
          <w:i/>
          <w:iCs/>
          <w:sz w:val="24"/>
          <w:szCs w:val="24"/>
        </w:rPr>
        <w:t>HAS3</w:t>
      </w:r>
      <w:r w:rsidR="00B03C92">
        <w:rPr>
          <w:rFonts w:ascii="Times New Roman" w:eastAsia="Times New Roman" w:hAnsi="Times New Roman" w:cs="Times New Roman"/>
          <w:sz w:val="24"/>
          <w:szCs w:val="24"/>
        </w:rPr>
        <w:t>, the forward is 5’-</w:t>
      </w:r>
      <w:r w:rsidR="00B03C92" w:rsidRPr="00B03C92">
        <w:t xml:space="preserve"> </w:t>
      </w:r>
      <w:r w:rsidR="00B03C92" w:rsidRPr="00B03C92">
        <w:rPr>
          <w:rFonts w:ascii="Times New Roman" w:eastAsia="Times New Roman" w:hAnsi="Times New Roman" w:cs="Times New Roman"/>
          <w:sz w:val="24"/>
          <w:szCs w:val="24"/>
        </w:rPr>
        <w:t>CTTAAGGGTTGCTTGCTTGC</w:t>
      </w:r>
      <w:r w:rsidR="00B03C92">
        <w:rPr>
          <w:rFonts w:ascii="Times New Roman" w:eastAsia="Times New Roman" w:hAnsi="Times New Roman" w:cs="Times New Roman"/>
          <w:sz w:val="24"/>
          <w:szCs w:val="24"/>
        </w:rPr>
        <w:t>-3’ and the reverse is 5’-</w:t>
      </w:r>
      <w:r w:rsidR="00B03C92" w:rsidRPr="00B03C92">
        <w:t xml:space="preserve"> </w:t>
      </w:r>
      <w:r w:rsidR="00B03C92" w:rsidRPr="00B03C92">
        <w:rPr>
          <w:rFonts w:ascii="Times New Roman" w:eastAsia="Times New Roman" w:hAnsi="Times New Roman" w:cs="Times New Roman"/>
          <w:sz w:val="24"/>
          <w:szCs w:val="24"/>
        </w:rPr>
        <w:t>GTTCGTGGGAGATGAAGGAA</w:t>
      </w:r>
      <w:r w:rsidR="00B03C92">
        <w:rPr>
          <w:rFonts w:ascii="Times New Roman" w:eastAsia="Times New Roman" w:hAnsi="Times New Roman" w:cs="Times New Roman"/>
          <w:sz w:val="24"/>
          <w:szCs w:val="24"/>
        </w:rPr>
        <w:t>-3’.</w:t>
      </w:r>
      <w:r w:rsidR="00EA0C69" w:rsidRPr="00EA0C69">
        <w:rPr>
          <w:rFonts w:ascii="Times New Roman" w:eastAsia="Times New Roman" w:hAnsi="Times New Roman" w:cs="Times New Roman"/>
          <w:sz w:val="24"/>
          <w:szCs w:val="24"/>
        </w:rPr>
        <w:t xml:space="preserve"> </w:t>
      </w:r>
      <w:r w:rsidRPr="019C386D">
        <w:rPr>
          <w:rFonts w:ascii="Times New Roman" w:eastAsia="Times New Roman" w:hAnsi="Times New Roman" w:cs="Times New Roman"/>
          <w:i/>
          <w:iCs/>
          <w:sz w:val="24"/>
          <w:szCs w:val="24"/>
        </w:rPr>
        <w:t>GAPDH</w:t>
      </w:r>
      <w:r w:rsidRPr="019C386D">
        <w:rPr>
          <w:rFonts w:ascii="Times New Roman" w:eastAsia="Times New Roman" w:hAnsi="Times New Roman" w:cs="Times New Roman"/>
          <w:sz w:val="24"/>
          <w:szCs w:val="24"/>
        </w:rPr>
        <w:t xml:space="preserve"> and </w:t>
      </w:r>
      <w:r w:rsidRPr="019C386D">
        <w:rPr>
          <w:rFonts w:ascii="Times New Roman" w:eastAsia="Times New Roman" w:hAnsi="Times New Roman" w:cs="Times New Roman"/>
          <w:i/>
          <w:iCs/>
          <w:sz w:val="24"/>
          <w:szCs w:val="24"/>
        </w:rPr>
        <w:t>B2M</w:t>
      </w:r>
      <w:r w:rsidRPr="019C386D">
        <w:rPr>
          <w:rFonts w:ascii="Times New Roman" w:eastAsia="Times New Roman" w:hAnsi="Times New Roman" w:cs="Times New Roman"/>
          <w:sz w:val="24"/>
          <w:szCs w:val="24"/>
        </w:rPr>
        <w:t xml:space="preserve"> were used as housekeeping genes. </w:t>
      </w:r>
    </w:p>
    <w:p w14:paraId="0FD6129B" w14:textId="77777777" w:rsidR="001370D2" w:rsidRDefault="001370D2" w:rsidP="001370D2">
      <w:pPr>
        <w:spacing w:line="480" w:lineRule="auto"/>
        <w:rPr>
          <w:rFonts w:ascii="Times New Roman" w:eastAsia="Times New Roman" w:hAnsi="Times New Roman" w:cs="Times New Roman"/>
          <w:b/>
          <w:bCs/>
          <w:sz w:val="28"/>
          <w:szCs w:val="28"/>
        </w:rPr>
      </w:pPr>
      <w:r w:rsidRPr="7BB72243">
        <w:rPr>
          <w:rFonts w:ascii="Times New Roman" w:eastAsia="Times New Roman" w:hAnsi="Times New Roman" w:cs="Times New Roman"/>
          <w:b/>
          <w:bCs/>
          <w:i/>
          <w:iCs/>
          <w:sz w:val="24"/>
          <w:szCs w:val="24"/>
        </w:rPr>
        <w:t>Statistical Analysis</w:t>
      </w:r>
      <w:r w:rsidRPr="7BB72243">
        <w:rPr>
          <w:rFonts w:ascii="Times New Roman" w:eastAsia="Times New Roman" w:hAnsi="Times New Roman" w:cs="Times New Roman"/>
          <w:b/>
          <w:bCs/>
          <w:sz w:val="24"/>
          <w:szCs w:val="24"/>
        </w:rPr>
        <w:t xml:space="preserve"> </w:t>
      </w:r>
    </w:p>
    <w:p w14:paraId="22947AA2" w14:textId="6F98287F" w:rsidR="001370D2" w:rsidRDefault="001370D2" w:rsidP="24D2E255">
      <w:pPr>
        <w:spacing w:line="480" w:lineRule="auto"/>
        <w:ind w:firstLine="720"/>
        <w:rPr>
          <w:rFonts w:ascii="Times New Roman" w:eastAsia="Times New Roman" w:hAnsi="Times New Roman" w:cs="Times New Roman"/>
          <w:sz w:val="24"/>
          <w:szCs w:val="24"/>
        </w:rPr>
      </w:pPr>
      <w:r w:rsidRPr="3871BA8D">
        <w:rPr>
          <w:rFonts w:ascii="Times New Roman" w:eastAsia="Times New Roman" w:hAnsi="Times New Roman" w:cs="Times New Roman"/>
          <w:sz w:val="24"/>
          <w:szCs w:val="24"/>
        </w:rPr>
        <w:t xml:space="preserve">Statistical analysis of patient demographics was performed with contingency tables analyzed by Chi-Square analysis with Fisher’s exact test using GraphPad Prism 9.5.0 (San </w:t>
      </w:r>
      <w:r w:rsidRPr="3871BA8D">
        <w:rPr>
          <w:rFonts w:ascii="Times New Roman" w:eastAsia="Times New Roman" w:hAnsi="Times New Roman" w:cs="Times New Roman"/>
          <w:sz w:val="24"/>
          <w:szCs w:val="24"/>
        </w:rPr>
        <w:lastRenderedPageBreak/>
        <w:t xml:space="preserve">Diego, CA, USA), and the statistical analysis of the immunohistochemical staining was also performed using GraphPad Prism 9.5.0. The correlation of biomarker staining to MRE stiffness was done using linear regression.  For comparison of means in non-parametric data sets, a Mann-Whitney U-test of rank comparisons </w:t>
      </w:r>
      <w:r w:rsidR="72B3C877" w:rsidRPr="3871BA8D">
        <w:rPr>
          <w:rFonts w:ascii="Times New Roman" w:eastAsia="Times New Roman" w:hAnsi="Times New Roman" w:cs="Times New Roman"/>
          <w:sz w:val="24"/>
          <w:szCs w:val="24"/>
        </w:rPr>
        <w:t>were</w:t>
      </w:r>
      <w:r w:rsidRPr="3871BA8D">
        <w:rPr>
          <w:rFonts w:ascii="Times New Roman" w:eastAsia="Times New Roman" w:hAnsi="Times New Roman" w:cs="Times New Roman"/>
          <w:sz w:val="24"/>
          <w:szCs w:val="24"/>
        </w:rPr>
        <w:t xml:space="preserve"> used. For parametric data, a one-tailed student’s t-test was used where a pre-determined hypothesis required it, otherwise the two-tailed variation was used. </w:t>
      </w:r>
      <w:r w:rsidR="6A8F3B84" w:rsidRPr="3871BA8D">
        <w:rPr>
          <w:rFonts w:ascii="Times New Roman" w:eastAsia="Times New Roman" w:hAnsi="Times New Roman" w:cs="Times New Roman"/>
          <w:sz w:val="24"/>
          <w:szCs w:val="24"/>
        </w:rPr>
        <w:t xml:space="preserve">For multiple comparison of means, a one-way ANOVA test with Bonferroni correction was used. </w:t>
      </w:r>
      <w:r w:rsidR="6B71D9E3" w:rsidRPr="3871BA8D">
        <w:rPr>
          <w:rFonts w:ascii="Times New Roman" w:eastAsia="Times New Roman" w:hAnsi="Times New Roman" w:cs="Times New Roman"/>
          <w:sz w:val="24"/>
          <w:szCs w:val="24"/>
        </w:rPr>
        <w:t xml:space="preserve">Comparison </w:t>
      </w:r>
      <w:r w:rsidR="223CEB91" w:rsidRPr="3871BA8D">
        <w:rPr>
          <w:rFonts w:ascii="Times New Roman" w:eastAsia="Times New Roman" w:hAnsi="Times New Roman" w:cs="Times New Roman"/>
          <w:sz w:val="24"/>
          <w:szCs w:val="24"/>
        </w:rPr>
        <w:t xml:space="preserve">for </w:t>
      </w:r>
      <w:r w:rsidR="6B71D9E3" w:rsidRPr="3871BA8D">
        <w:rPr>
          <w:rFonts w:ascii="Times New Roman" w:eastAsia="Times New Roman" w:hAnsi="Times New Roman" w:cs="Times New Roman"/>
          <w:sz w:val="24"/>
          <w:szCs w:val="24"/>
        </w:rPr>
        <w:t>single variable predicti</w:t>
      </w:r>
      <w:r w:rsidR="106E9D43" w:rsidRPr="3871BA8D">
        <w:rPr>
          <w:rFonts w:ascii="Times New Roman" w:eastAsia="Times New Roman" w:hAnsi="Times New Roman" w:cs="Times New Roman"/>
          <w:sz w:val="24"/>
          <w:szCs w:val="24"/>
        </w:rPr>
        <w:t>on of</w:t>
      </w:r>
      <w:r w:rsidR="6B71D9E3" w:rsidRPr="3871BA8D">
        <w:rPr>
          <w:rFonts w:ascii="Times New Roman" w:eastAsia="Times New Roman" w:hAnsi="Times New Roman" w:cs="Times New Roman"/>
          <w:sz w:val="24"/>
          <w:szCs w:val="24"/>
        </w:rPr>
        <w:t xml:space="preserve"> </w:t>
      </w:r>
      <w:r w:rsidR="65A72B0D" w:rsidRPr="3871BA8D">
        <w:rPr>
          <w:rFonts w:ascii="Times New Roman" w:eastAsia="Times New Roman" w:hAnsi="Times New Roman" w:cs="Times New Roman"/>
          <w:sz w:val="24"/>
          <w:szCs w:val="24"/>
        </w:rPr>
        <w:t xml:space="preserve">binary </w:t>
      </w:r>
      <w:r w:rsidR="6B71D9E3" w:rsidRPr="3871BA8D">
        <w:rPr>
          <w:rFonts w:ascii="Times New Roman" w:eastAsia="Times New Roman" w:hAnsi="Times New Roman" w:cs="Times New Roman"/>
          <w:sz w:val="24"/>
          <w:szCs w:val="24"/>
        </w:rPr>
        <w:t>stiff</w:t>
      </w:r>
      <w:r w:rsidR="5D0AF2DE" w:rsidRPr="3871BA8D">
        <w:rPr>
          <w:rFonts w:ascii="Times New Roman" w:eastAsia="Times New Roman" w:hAnsi="Times New Roman" w:cs="Times New Roman"/>
          <w:sz w:val="24"/>
          <w:szCs w:val="24"/>
        </w:rPr>
        <w:t xml:space="preserve">ness </w:t>
      </w:r>
      <w:r w:rsidR="69CCA3E4" w:rsidRPr="3871BA8D">
        <w:rPr>
          <w:rFonts w:ascii="Times New Roman" w:eastAsia="Times New Roman" w:hAnsi="Times New Roman" w:cs="Times New Roman"/>
          <w:sz w:val="24"/>
          <w:szCs w:val="24"/>
        </w:rPr>
        <w:t>was made with u</w:t>
      </w:r>
      <w:r w:rsidR="6B71D9E3" w:rsidRPr="3871BA8D">
        <w:rPr>
          <w:rFonts w:ascii="Times New Roman" w:eastAsia="Times New Roman" w:hAnsi="Times New Roman" w:cs="Times New Roman"/>
          <w:sz w:val="24"/>
          <w:szCs w:val="24"/>
        </w:rPr>
        <w:t xml:space="preserve">nivariate logistic regression analysis </w:t>
      </w:r>
      <w:r w:rsidR="38AD4339" w:rsidRPr="3871BA8D">
        <w:rPr>
          <w:rFonts w:ascii="Times New Roman" w:eastAsia="Times New Roman" w:hAnsi="Times New Roman" w:cs="Times New Roman"/>
          <w:sz w:val="24"/>
          <w:szCs w:val="24"/>
        </w:rPr>
        <w:t>(</w:t>
      </w:r>
      <w:r w:rsidR="5DA3AFF5" w:rsidRPr="3871BA8D">
        <w:rPr>
          <w:rFonts w:ascii="Times New Roman" w:eastAsia="Times New Roman" w:hAnsi="Times New Roman" w:cs="Times New Roman"/>
          <w:sz w:val="24"/>
          <w:szCs w:val="24"/>
        </w:rPr>
        <w:t>IBM SPSS Statistics, Version 29.0.2.0</w:t>
      </w:r>
      <w:r w:rsidR="38AD4339" w:rsidRPr="3871BA8D">
        <w:rPr>
          <w:rFonts w:ascii="Times New Roman" w:eastAsia="Times New Roman" w:hAnsi="Times New Roman" w:cs="Times New Roman"/>
          <w:sz w:val="24"/>
          <w:szCs w:val="24"/>
        </w:rPr>
        <w:t xml:space="preserve">). Statistical </w:t>
      </w:r>
      <w:r w:rsidRPr="3871BA8D">
        <w:rPr>
          <w:rFonts w:ascii="Times New Roman" w:eastAsia="Times New Roman" w:hAnsi="Times New Roman" w:cs="Times New Roman"/>
          <w:sz w:val="24"/>
          <w:szCs w:val="24"/>
        </w:rPr>
        <w:t>significance was defined as an alpha of 0.05 where applicable.</w:t>
      </w:r>
    </w:p>
    <w:p w14:paraId="3DEF2C1E" w14:textId="6078E5AA" w:rsidR="00FC1170" w:rsidRDefault="00EE68EF">
      <w:r w:rsidRPr="00EE68EF">
        <w:rPr>
          <w:noProof/>
        </w:rPr>
        <w:lastRenderedPageBreak/>
        <w:drawing>
          <wp:inline distT="0" distB="0" distL="0" distR="0" wp14:anchorId="190F9A7B" wp14:editId="1B6EC65B">
            <wp:extent cx="5943600" cy="7924800"/>
            <wp:effectExtent l="0" t="0" r="0" b="0"/>
            <wp:docPr id="944143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43502" name=""/>
                    <pic:cNvPicPr/>
                  </pic:nvPicPr>
                  <pic:blipFill>
                    <a:blip r:embed="rId4"/>
                    <a:stretch>
                      <a:fillRect/>
                    </a:stretch>
                  </pic:blipFill>
                  <pic:spPr>
                    <a:xfrm>
                      <a:off x="0" y="0"/>
                      <a:ext cx="5943600" cy="7924800"/>
                    </a:xfrm>
                    <a:prstGeom prst="rect">
                      <a:avLst/>
                    </a:prstGeom>
                  </pic:spPr>
                </pic:pic>
              </a:graphicData>
            </a:graphic>
          </wp:inline>
        </w:drawing>
      </w:r>
    </w:p>
    <w:p w14:paraId="7932B309" w14:textId="21A21B0E" w:rsidR="00EE68EF" w:rsidRDefault="00EE68EF">
      <w:r w:rsidRPr="00EE68EF">
        <w:rPr>
          <w:noProof/>
        </w:rPr>
        <w:lastRenderedPageBreak/>
        <w:drawing>
          <wp:inline distT="0" distB="0" distL="0" distR="0" wp14:anchorId="28603819" wp14:editId="367FD297">
            <wp:extent cx="5943600" cy="7924800"/>
            <wp:effectExtent l="0" t="0" r="0" b="0"/>
            <wp:docPr id="1900147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47539" name=""/>
                    <pic:cNvPicPr/>
                  </pic:nvPicPr>
                  <pic:blipFill>
                    <a:blip r:embed="rId5"/>
                    <a:stretch>
                      <a:fillRect/>
                    </a:stretch>
                  </pic:blipFill>
                  <pic:spPr>
                    <a:xfrm>
                      <a:off x="0" y="0"/>
                      <a:ext cx="5943600" cy="7924800"/>
                    </a:xfrm>
                    <a:prstGeom prst="rect">
                      <a:avLst/>
                    </a:prstGeom>
                  </pic:spPr>
                </pic:pic>
              </a:graphicData>
            </a:graphic>
          </wp:inline>
        </w:drawing>
      </w:r>
      <w:r w:rsidRPr="00EE68EF">
        <w:rPr>
          <w:noProof/>
        </w:rPr>
        <w:lastRenderedPageBreak/>
        <w:drawing>
          <wp:inline distT="0" distB="0" distL="0" distR="0" wp14:anchorId="7F3A0624" wp14:editId="34C53120">
            <wp:extent cx="5943600" cy="7924800"/>
            <wp:effectExtent l="0" t="0" r="0" b="0"/>
            <wp:docPr id="42776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76256" name=""/>
                    <pic:cNvPicPr/>
                  </pic:nvPicPr>
                  <pic:blipFill>
                    <a:blip r:embed="rId6"/>
                    <a:stretch>
                      <a:fillRect/>
                    </a:stretch>
                  </pic:blipFill>
                  <pic:spPr>
                    <a:xfrm>
                      <a:off x="0" y="0"/>
                      <a:ext cx="5943600" cy="7924800"/>
                    </a:xfrm>
                    <a:prstGeom prst="rect">
                      <a:avLst/>
                    </a:prstGeom>
                  </pic:spPr>
                </pic:pic>
              </a:graphicData>
            </a:graphic>
          </wp:inline>
        </w:drawing>
      </w:r>
      <w:r w:rsidRPr="00EE68EF">
        <w:rPr>
          <w:noProof/>
        </w:rPr>
        <w:lastRenderedPageBreak/>
        <w:drawing>
          <wp:inline distT="0" distB="0" distL="0" distR="0" wp14:anchorId="39A424A4" wp14:editId="63859AAB">
            <wp:extent cx="5943600" cy="7924800"/>
            <wp:effectExtent l="0" t="0" r="0" b="0"/>
            <wp:docPr id="708993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93511" name=""/>
                    <pic:cNvPicPr/>
                  </pic:nvPicPr>
                  <pic:blipFill>
                    <a:blip r:embed="rId7"/>
                    <a:stretch>
                      <a:fillRect/>
                    </a:stretch>
                  </pic:blipFill>
                  <pic:spPr>
                    <a:xfrm>
                      <a:off x="0" y="0"/>
                      <a:ext cx="5943600" cy="7924800"/>
                    </a:xfrm>
                    <a:prstGeom prst="rect">
                      <a:avLst/>
                    </a:prstGeom>
                  </pic:spPr>
                </pic:pic>
              </a:graphicData>
            </a:graphic>
          </wp:inline>
        </w:drawing>
      </w:r>
      <w:r w:rsidRPr="00EE68EF">
        <w:rPr>
          <w:noProof/>
        </w:rPr>
        <w:lastRenderedPageBreak/>
        <w:drawing>
          <wp:inline distT="0" distB="0" distL="0" distR="0" wp14:anchorId="365D535C" wp14:editId="63921A56">
            <wp:extent cx="5943600" cy="7924800"/>
            <wp:effectExtent l="0" t="0" r="0" b="0"/>
            <wp:docPr id="297767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67141" name=""/>
                    <pic:cNvPicPr/>
                  </pic:nvPicPr>
                  <pic:blipFill>
                    <a:blip r:embed="rId8"/>
                    <a:stretch>
                      <a:fillRect/>
                    </a:stretch>
                  </pic:blipFill>
                  <pic:spPr>
                    <a:xfrm>
                      <a:off x="0" y="0"/>
                      <a:ext cx="5943600" cy="7924800"/>
                    </a:xfrm>
                    <a:prstGeom prst="rect">
                      <a:avLst/>
                    </a:prstGeom>
                  </pic:spPr>
                </pic:pic>
              </a:graphicData>
            </a:graphic>
          </wp:inline>
        </w:drawing>
      </w:r>
      <w:r w:rsidRPr="00EE68EF">
        <w:rPr>
          <w:noProof/>
        </w:rPr>
        <w:lastRenderedPageBreak/>
        <w:drawing>
          <wp:inline distT="0" distB="0" distL="0" distR="0" wp14:anchorId="62F4AB4B" wp14:editId="7E8EEABF">
            <wp:extent cx="5943600" cy="7924800"/>
            <wp:effectExtent l="0" t="0" r="0" b="0"/>
            <wp:docPr id="2129057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057571" name=""/>
                    <pic:cNvPicPr/>
                  </pic:nvPicPr>
                  <pic:blipFill>
                    <a:blip r:embed="rId9"/>
                    <a:stretch>
                      <a:fillRect/>
                    </a:stretch>
                  </pic:blipFill>
                  <pic:spPr>
                    <a:xfrm>
                      <a:off x="0" y="0"/>
                      <a:ext cx="5943600" cy="7924800"/>
                    </a:xfrm>
                    <a:prstGeom prst="rect">
                      <a:avLst/>
                    </a:prstGeom>
                  </pic:spPr>
                </pic:pic>
              </a:graphicData>
            </a:graphic>
          </wp:inline>
        </w:drawing>
      </w:r>
    </w:p>
    <w:sectPr w:rsidR="00EE68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BQNrv5OdFjKmz" int2:id="sq9jjn5l">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0D2"/>
    <w:rsid w:val="001370D2"/>
    <w:rsid w:val="00506CB5"/>
    <w:rsid w:val="005A5DD1"/>
    <w:rsid w:val="005C222B"/>
    <w:rsid w:val="00B03C92"/>
    <w:rsid w:val="00B241A1"/>
    <w:rsid w:val="00C653A1"/>
    <w:rsid w:val="00CC4DA4"/>
    <w:rsid w:val="00EA0C69"/>
    <w:rsid w:val="00EE68EF"/>
    <w:rsid w:val="00FC1170"/>
    <w:rsid w:val="07EB3732"/>
    <w:rsid w:val="08E89774"/>
    <w:rsid w:val="09039513"/>
    <w:rsid w:val="09989268"/>
    <w:rsid w:val="0A42144E"/>
    <w:rsid w:val="0E51CD96"/>
    <w:rsid w:val="0E75FB04"/>
    <w:rsid w:val="0F41930B"/>
    <w:rsid w:val="0FD961C1"/>
    <w:rsid w:val="106E9D43"/>
    <w:rsid w:val="112DC67D"/>
    <w:rsid w:val="145994ED"/>
    <w:rsid w:val="148B4184"/>
    <w:rsid w:val="162711E5"/>
    <w:rsid w:val="1A8CFB66"/>
    <w:rsid w:val="1F054ACF"/>
    <w:rsid w:val="1FAF94C7"/>
    <w:rsid w:val="204E69DE"/>
    <w:rsid w:val="20F8924C"/>
    <w:rsid w:val="223CEB91"/>
    <w:rsid w:val="2430330E"/>
    <w:rsid w:val="24D2E255"/>
    <w:rsid w:val="260964DF"/>
    <w:rsid w:val="2645CF1A"/>
    <w:rsid w:val="2BEB4168"/>
    <w:rsid w:val="2DBADD8B"/>
    <w:rsid w:val="30F8590C"/>
    <w:rsid w:val="318E5517"/>
    <w:rsid w:val="334356CE"/>
    <w:rsid w:val="341AC30F"/>
    <w:rsid w:val="362D6D66"/>
    <w:rsid w:val="3871BA8D"/>
    <w:rsid w:val="38AD4339"/>
    <w:rsid w:val="3C6382C2"/>
    <w:rsid w:val="3C90FFC8"/>
    <w:rsid w:val="3C9DFED9"/>
    <w:rsid w:val="3CD48C37"/>
    <w:rsid w:val="3DDBFE47"/>
    <w:rsid w:val="3F77CEA8"/>
    <w:rsid w:val="4070DE24"/>
    <w:rsid w:val="438950D3"/>
    <w:rsid w:val="44B09085"/>
    <w:rsid w:val="45E11CD2"/>
    <w:rsid w:val="46ABD541"/>
    <w:rsid w:val="48A8D31E"/>
    <w:rsid w:val="4929EEBA"/>
    <w:rsid w:val="4C47EB15"/>
    <w:rsid w:val="4C9A19AF"/>
    <w:rsid w:val="4CD5C0C3"/>
    <w:rsid w:val="51CB572C"/>
    <w:rsid w:val="51D27CB9"/>
    <w:rsid w:val="52277D3F"/>
    <w:rsid w:val="52FE7A1E"/>
    <w:rsid w:val="54DB02D3"/>
    <w:rsid w:val="54ED5C61"/>
    <w:rsid w:val="55552688"/>
    <w:rsid w:val="593FAD6D"/>
    <w:rsid w:val="5D0AF2DE"/>
    <w:rsid w:val="5DA3AFF5"/>
    <w:rsid w:val="6195939B"/>
    <w:rsid w:val="6460592E"/>
    <w:rsid w:val="64DC4425"/>
    <w:rsid w:val="65A72B0D"/>
    <w:rsid w:val="67630CDF"/>
    <w:rsid w:val="69806FB2"/>
    <w:rsid w:val="69CCA3E4"/>
    <w:rsid w:val="6A8F3B84"/>
    <w:rsid w:val="6B71D9E3"/>
    <w:rsid w:val="6FA09A0A"/>
    <w:rsid w:val="72B3C877"/>
    <w:rsid w:val="73FA8C8C"/>
    <w:rsid w:val="74FA5575"/>
    <w:rsid w:val="75570AE8"/>
    <w:rsid w:val="76D63DD6"/>
    <w:rsid w:val="7A1FA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82093"/>
  <w15:chartTrackingRefBased/>
  <w15:docId w15:val="{A47473EA-E715-D644-8504-0F636EFF6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0D2"/>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70D2"/>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12" Type="http://schemas.microsoft.com/office/2020/10/relationships/intelligence" Target="intelligence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12</Pages>
  <Words>1256</Words>
  <Characters>7161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Duhon, Bailey H</dc:creator>
  <cp:keywords/>
  <dc:description/>
  <cp:lastModifiedBy>Duhon, Bailey</cp:lastModifiedBy>
  <cp:revision>3</cp:revision>
  <dcterms:created xsi:type="dcterms:W3CDTF">2024-06-06T16:32:00Z</dcterms:created>
  <dcterms:modified xsi:type="dcterms:W3CDTF">2024-06-06T17:18:00Z</dcterms:modified>
</cp:coreProperties>
</file>