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92E" w:rsidRDefault="00834148">
      <w:pPr>
        <w:rPr>
          <w:color w:val="auto"/>
        </w:rPr>
      </w:pPr>
      <w:r>
        <w:rPr>
          <w:rFonts w:hint="eastAsia"/>
          <w:color w:val="auto"/>
        </w:rPr>
        <w:t>Supplementary Table S1-S3 legends</w:t>
      </w:r>
    </w:p>
    <w:p w:rsidR="0083492E" w:rsidRDefault="0083492E">
      <w:pPr>
        <w:rPr>
          <w:color w:val="auto"/>
        </w:rPr>
      </w:pPr>
    </w:p>
    <w:p w:rsidR="0083492E" w:rsidRDefault="00834148">
      <w:pPr>
        <w:rPr>
          <w:color w:val="auto"/>
        </w:rPr>
      </w:pPr>
      <w:r>
        <w:rPr>
          <w:rFonts w:hint="eastAsia"/>
          <w:color w:val="auto"/>
        </w:rPr>
        <w:t>Table S1 Detailed cell type-specific counts and proportions in normal and DCM groups</w:t>
      </w:r>
    </w:p>
    <w:p w:rsidR="0083492E" w:rsidRDefault="00834148">
      <w:pPr>
        <w:spacing w:beforeLines="50" w:before="156"/>
        <w:rPr>
          <w:rFonts w:cs="Times New Roman"/>
          <w:color w:val="auto"/>
          <w:szCs w:val="28"/>
        </w:rPr>
      </w:pPr>
      <w:bookmarkStart w:id="0" w:name="OLE_LINK90"/>
      <w:r>
        <w:rPr>
          <w:rFonts w:hint="eastAsia"/>
          <w:color w:val="auto"/>
        </w:rPr>
        <w:t>T</w:t>
      </w:r>
      <w:r>
        <w:rPr>
          <w:color w:val="auto"/>
        </w:rPr>
        <w:t>able S</w:t>
      </w:r>
      <w:r>
        <w:rPr>
          <w:rFonts w:hint="eastAsia"/>
          <w:color w:val="auto"/>
        </w:rPr>
        <w:t>2</w:t>
      </w:r>
      <w:r>
        <w:rPr>
          <w:color w:val="auto"/>
        </w:rPr>
        <w:t xml:space="preserve"> </w:t>
      </w:r>
      <w:r>
        <w:rPr>
          <w:rFonts w:hint="eastAsia"/>
          <w:color w:val="auto"/>
        </w:rPr>
        <w:t>V</w:t>
      </w:r>
      <w:r>
        <w:rPr>
          <w:color w:val="auto"/>
        </w:rPr>
        <w:t>ariance decomposition results for each regulon.</w:t>
      </w:r>
      <w:r>
        <w:rPr>
          <w:rFonts w:hint="eastAsia"/>
          <w:color w:val="auto"/>
        </w:rPr>
        <w:t xml:space="preserve"> </w:t>
      </w:r>
      <w:r>
        <w:rPr>
          <w:rFonts w:cs="Times New Roman"/>
          <w:color w:val="auto"/>
          <w:szCs w:val="28"/>
        </w:rPr>
        <w:t>This table details the variance decomposition analysis for each regulon, clarifying the contributions of cell type, group, and residual variance. The 'celltype' column represents the proportion of variance ascribed to differences among cell types, while the 'group' column denotes the variance associated with the distinction between normal and DCM samples. The 'residual' column accounts for the variance not explained by cell type or group.</w:t>
      </w:r>
    </w:p>
    <w:p w:rsidR="0083492E" w:rsidRDefault="0083492E">
      <w:pPr>
        <w:rPr>
          <w:color w:val="auto"/>
        </w:rPr>
      </w:pPr>
    </w:p>
    <w:bookmarkEnd w:id="0"/>
    <w:p w:rsidR="0083492E" w:rsidRDefault="00834148">
      <w:pPr>
        <w:rPr>
          <w:color w:val="auto"/>
        </w:rPr>
      </w:pPr>
      <w:r>
        <w:rPr>
          <w:rFonts w:hint="eastAsia"/>
          <w:color w:val="auto"/>
        </w:rPr>
        <w:t>T</w:t>
      </w:r>
      <w:r>
        <w:rPr>
          <w:color w:val="auto"/>
        </w:rPr>
        <w:t>able S</w:t>
      </w:r>
      <w:r>
        <w:rPr>
          <w:rFonts w:hint="eastAsia"/>
          <w:color w:val="auto"/>
        </w:rPr>
        <w:t>3</w:t>
      </w:r>
      <w:r>
        <w:rPr>
          <w:color w:val="auto"/>
        </w:rPr>
        <w:t xml:space="preserve"> </w:t>
      </w:r>
      <w:r>
        <w:rPr>
          <w:rFonts w:hint="eastAsia"/>
          <w:color w:val="auto"/>
        </w:rPr>
        <w:t>Comprehensive list of specific target genes and their corresponding counts</w:t>
      </w:r>
    </w:p>
    <w:p w:rsidR="0083492E" w:rsidRDefault="0083492E"/>
    <w:p w:rsidR="000737F0" w:rsidRDefault="000737F0">
      <w:r>
        <w:rPr>
          <w:rFonts w:hint="eastAsia"/>
          <w:color w:val="auto"/>
        </w:rPr>
        <w:t>Supplementary</w:t>
      </w:r>
      <w:r>
        <w:rPr>
          <w:color w:val="auto"/>
        </w:rPr>
        <w:t xml:space="preserve"> Figure Legends</w:t>
      </w:r>
      <w:bookmarkStart w:id="1" w:name="_GoBack"/>
      <w:bookmarkEnd w:id="1"/>
    </w:p>
    <w:p w:rsidR="00834148" w:rsidRDefault="00834148" w:rsidP="00834148">
      <w:pPr>
        <w:rPr>
          <w:color w:val="auto"/>
        </w:rPr>
      </w:pPr>
      <w:r>
        <w:rPr>
          <w:color w:val="auto"/>
        </w:rPr>
        <w:t>Figure S1A-B UMAP plots before and after integration of the 18 samples.</w:t>
      </w:r>
    </w:p>
    <w:p w:rsidR="00834148" w:rsidRDefault="00834148" w:rsidP="00834148">
      <w:pPr>
        <w:rPr>
          <w:color w:val="auto"/>
        </w:rPr>
      </w:pPr>
      <w:r>
        <w:rPr>
          <w:color w:val="auto"/>
        </w:rPr>
        <w:t>Figure S2 The average activity of each module.</w:t>
      </w:r>
      <w:r>
        <w:rPr>
          <w:rFonts w:hint="eastAsia"/>
          <w:color w:val="auto"/>
        </w:rPr>
        <w:t xml:space="preserve"> </w:t>
      </w:r>
    </w:p>
    <w:p w:rsidR="00834148" w:rsidRDefault="00834148" w:rsidP="00834148">
      <w:pPr>
        <w:rPr>
          <w:color w:val="auto"/>
        </w:rPr>
      </w:pPr>
      <w:r>
        <w:rPr>
          <w:color w:val="auto"/>
        </w:rPr>
        <w:t>Figure S3 The expression levels of these 19 regulons.</w:t>
      </w:r>
    </w:p>
    <w:p w:rsidR="00834148" w:rsidRDefault="00834148" w:rsidP="00834148">
      <w:pPr>
        <w:rPr>
          <w:color w:val="auto"/>
        </w:rPr>
      </w:pPr>
      <w:r>
        <w:rPr>
          <w:rFonts w:hint="eastAsia"/>
          <w:color w:val="auto"/>
        </w:rPr>
        <w:t>Figure</w:t>
      </w:r>
      <w:r>
        <w:rPr>
          <w:color w:val="auto"/>
        </w:rPr>
        <w:t xml:space="preserve"> </w:t>
      </w:r>
      <w:r>
        <w:rPr>
          <w:rFonts w:hint="eastAsia"/>
          <w:color w:val="auto"/>
        </w:rPr>
        <w:t>S</w:t>
      </w:r>
      <w:r>
        <w:rPr>
          <w:color w:val="auto"/>
        </w:rPr>
        <w:t>4 Cell type-specific regulons within normal cells. The blue dots represent the meaningful regulons in each cell type.</w:t>
      </w:r>
    </w:p>
    <w:p w:rsidR="00834148" w:rsidRDefault="00834148" w:rsidP="00834148">
      <w:pPr>
        <w:rPr>
          <w:color w:val="auto"/>
        </w:rPr>
      </w:pPr>
      <w:r>
        <w:rPr>
          <w:color w:val="auto"/>
        </w:rPr>
        <w:t>Figure S5 The representative significant regulons for each cell type. The left panel represents the distribution of cell types, while the right panel represents the distribution of cell type-specific regulons.</w:t>
      </w:r>
    </w:p>
    <w:p w:rsidR="00834148" w:rsidRDefault="00834148" w:rsidP="00834148">
      <w:pPr>
        <w:rPr>
          <w:color w:val="auto"/>
        </w:rPr>
      </w:pPr>
      <w:bookmarkStart w:id="2" w:name="OLE_LINK73"/>
      <w:r>
        <w:rPr>
          <w:rFonts w:hint="eastAsia"/>
          <w:color w:val="auto"/>
        </w:rPr>
        <w:t>F</w:t>
      </w:r>
      <w:r>
        <w:rPr>
          <w:color w:val="auto"/>
        </w:rPr>
        <w:t xml:space="preserve">igure S6 Functional Enrichment Analysis. </w:t>
      </w:r>
      <w:bookmarkEnd w:id="2"/>
      <w:r>
        <w:rPr>
          <w:color w:val="auto"/>
        </w:rPr>
        <w:t xml:space="preserve">(A) </w:t>
      </w:r>
      <w:r>
        <w:rPr>
          <w:rFonts w:hint="eastAsia"/>
          <w:color w:val="auto"/>
        </w:rPr>
        <w:t xml:space="preserve">GO and KEGG analyses of </w:t>
      </w:r>
      <w:r>
        <w:rPr>
          <w:color w:val="auto"/>
        </w:rPr>
        <w:t xml:space="preserve">GSE5406. (B) </w:t>
      </w:r>
      <w:r>
        <w:rPr>
          <w:rFonts w:hint="eastAsia"/>
          <w:color w:val="auto"/>
        </w:rPr>
        <w:t xml:space="preserve">GO and KEGG analyses of </w:t>
      </w:r>
      <w:r>
        <w:rPr>
          <w:color w:val="auto"/>
        </w:rPr>
        <w:t>GSE57338.</w:t>
      </w:r>
    </w:p>
    <w:p w:rsidR="00834148" w:rsidRDefault="00834148" w:rsidP="00834148">
      <w:pPr>
        <w:rPr>
          <w:color w:val="auto"/>
        </w:rPr>
      </w:pPr>
      <w:r>
        <w:rPr>
          <w:rFonts w:hint="eastAsia"/>
          <w:color w:val="auto"/>
        </w:rPr>
        <w:t>F</w:t>
      </w:r>
      <w:r>
        <w:rPr>
          <w:color w:val="auto"/>
        </w:rPr>
        <w:t xml:space="preserve">igure S7 </w:t>
      </w:r>
      <w:r>
        <w:rPr>
          <w:rFonts w:hint="eastAsia"/>
          <w:color w:val="auto"/>
        </w:rPr>
        <w:t xml:space="preserve">Diagnostic efficacy of hub genes in the prediction of DCM in </w:t>
      </w:r>
      <w:r>
        <w:rPr>
          <w:color w:val="auto"/>
        </w:rPr>
        <w:t xml:space="preserve">GSE5406 (A) </w:t>
      </w:r>
      <w:r>
        <w:rPr>
          <w:rFonts w:hint="eastAsia"/>
          <w:color w:val="auto"/>
        </w:rPr>
        <w:t xml:space="preserve">and </w:t>
      </w:r>
      <w:r>
        <w:rPr>
          <w:color w:val="auto"/>
        </w:rPr>
        <w:t xml:space="preserve">GSE57338 (B) </w:t>
      </w:r>
      <w:r>
        <w:rPr>
          <w:rFonts w:hint="eastAsia"/>
          <w:color w:val="auto"/>
        </w:rPr>
        <w:t>cohort.</w:t>
      </w:r>
    </w:p>
    <w:p w:rsidR="00834148" w:rsidRDefault="00834148"/>
    <w:sectPr w:rsidR="0083414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492E" w:rsidRDefault="00834148">
      <w:pPr>
        <w:spacing w:line="240" w:lineRule="auto"/>
      </w:pPr>
      <w:r>
        <w:separator/>
      </w:r>
    </w:p>
  </w:endnote>
  <w:endnote w:type="continuationSeparator" w:id="0">
    <w:p w:rsidR="0083492E" w:rsidRDefault="008341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492E" w:rsidRDefault="00834148">
      <w:r>
        <w:separator/>
      </w:r>
    </w:p>
  </w:footnote>
  <w:footnote w:type="continuationSeparator" w:id="0">
    <w:p w:rsidR="0083492E" w:rsidRDefault="008341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1Y2VkNzlkZmVmOTkyY2JkNjk2N2VhYmUzMWYyNWEifQ=="/>
    <w:docVar w:name="KSO_WPS_MARK_KEY" w:val="2b31d2e4-092a-483c-9232-66ee3390cb13"/>
  </w:docVars>
  <w:rsids>
    <w:rsidRoot w:val="77BF772A"/>
    <w:rsid w:val="000737F0"/>
    <w:rsid w:val="00834148"/>
    <w:rsid w:val="0083492E"/>
    <w:rsid w:val="77BF77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E5DA64A-6305-4D0C-B7AA-FC7B5F852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line="360" w:lineRule="auto"/>
      <w:jc w:val="both"/>
    </w:pPr>
    <w:rPr>
      <w:rFonts w:eastAsia="Microsoft YaHei" w:cstheme="minorBidi"/>
      <w:color w:val="00B0F0"/>
      <w:kern w:val="2"/>
      <w:sz w:val="24"/>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 Min</dc:creator>
  <cp:lastModifiedBy>Sujatha M C Chandrabose M</cp:lastModifiedBy>
  <cp:revision>3</cp:revision>
  <dcterms:created xsi:type="dcterms:W3CDTF">2024-03-27T14:40:00Z</dcterms:created>
  <dcterms:modified xsi:type="dcterms:W3CDTF">2024-06-12T13:42:00Z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2052-11.1.0.15309</vt:lpwstr>
  </property>
  <property fmtid="{D5CDD505-2E9C-101B-9397-08002B2CF9AE}" pid="3" name="ICV">
    <vt:lpwstr>EC1F490433744E158F801CC1DA56F3AD_11</vt:lpwstr>
  </property>
</Properties>
</file>