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</w:pPr>
      <w:r>
        <w:rPr>
          <w:rFonts w:hint="eastAsia"/>
          <w:lang w:val="en-US" w:eastAsia="zh-CN"/>
        </w:rPr>
        <w:t>Specific Formulas and Analytical Methods</w:t>
      </w:r>
      <w:bookmarkStart w:id="1" w:name="_GoBack"/>
      <w:bookmarkEnd w:id="1"/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3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2130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TARGET AEs</w:t>
            </w:r>
          </w:p>
        </w:tc>
        <w:tc>
          <w:tcPr>
            <w:tcW w:w="2131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AEs</w:t>
            </w:r>
          </w:p>
        </w:tc>
        <w:tc>
          <w:tcPr>
            <w:tcW w:w="2131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TARGET DRUG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+ 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DRUGs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 + 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0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SUMs</w:t>
            </w:r>
          </w:p>
        </w:tc>
        <w:tc>
          <w:tcPr>
            <w:tcW w:w="2130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+ c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 + d</w:t>
            </w:r>
          </w:p>
        </w:tc>
        <w:tc>
          <w:tcPr>
            <w:tcW w:w="2131" w:type="dxa"/>
            <w:tcBorders>
              <w:top w:val="nil"/>
              <w:left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+ b + c + d</w:t>
            </w:r>
          </w:p>
        </w:tc>
      </w:tr>
    </w:tbl>
    <w:p/>
    <w:tbl>
      <w:tblPr>
        <w:tblStyle w:val="4"/>
        <w:tblW w:w="546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767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bottom w:val="single" w:color="000000" w:sz="4" w:space="0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ALGORITHMS</w:t>
            </w:r>
          </w:p>
        </w:tc>
        <w:tc>
          <w:tcPr>
            <w:tcW w:w="4119" w:type="pct"/>
            <w:tcBorders>
              <w:bottom w:val="single" w:color="000000" w:sz="4" w:space="0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EQUATION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vMerge w:val="restart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BCPNN</w:t>
            </w:r>
          </w:p>
        </w:tc>
        <w:tc>
          <w:tcPr>
            <w:tcW w:w="4119" w:type="pct"/>
            <w:tcBorders>
              <w:top w:val="single" w:color="000000" w:sz="4" w:space="0"/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γ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ij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1,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α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β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j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=1,α=β=1,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ij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=a,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=a+b,</m:t>
                </m:r>
              </m:oMath>
            </m:oMathPara>
          </w:p>
          <w:p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j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=a+b,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j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=a+c,N=a+b+c+d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9" w:type="pct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γ=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γ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ij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(N+α)(N+β)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i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α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i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)(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j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β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j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)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den>
                </m:f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9" w:type="pct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E(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IC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ij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)=</m:t>
                </m:r>
                <m:func>
                  <m:funcPr>
                    <m:ctrlPr>
                      <w:rPr>
                        <w:rFonts w:ascii="Cambria Math" w:hAnsi="Cambria Math" w:cs="Times New Roman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sub>
                    </m:sSub>
                    <m:ctrlPr>
                      <w:rPr>
                        <w:rFonts w:ascii="Cambria Math" w:hAnsi="Cambria Math" w:cs="Times New Roman"/>
                      </w:rPr>
                    </m:ctrlPr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γ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)(N+α)(N+β)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(N+γ)(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α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β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 w:cs="Times New Roman"/>
                          </w:rPr>
                        </m:ctrlP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(c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ij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γ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ij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)γ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(N+γ)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en>
                        </m:f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</m:func>
                    <m:ctrlPr>
                      <w:rPr>
                        <w:rFonts w:ascii="Cambria Math" w:hAnsi="Cambria Math" w:cs="Times New Roman"/>
                      </w:rPr>
                    </m:ctrlPr>
                  </m:e>
                </m:func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8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9" w:type="pct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Cambria Math" w:hAnsi="Cambria Math" w:cs="Times New Roman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V(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IC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ij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)=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N−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+γ−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γ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 w:cs="Times New Roman"/>
                          </w:rPr>
                        </m:ctrlP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(c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γ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)(1+N+γ)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N−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+α−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α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 w:cs="Times New Roman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α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)(1+N+α)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N−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+β−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β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ctrlPr>
                          <w:rPr>
                            <w:rFonts w:ascii="Cambria Math" w:hAnsi="Cambria Math" w:cs="Times New Roman"/>
                          </w:rPr>
                        </m:ctrlP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i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β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j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)(1+N+β)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den>
                    </m:f>
                    <m:ctrlPr>
                      <w:rPr>
                        <w:rFonts w:ascii="Cambria Math" w:hAnsi="Cambria Math" w:cs="Times New Roman"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(log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fName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2)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</m:func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sup>
                    </m:sSup>
                    <m:ctrlPr>
                      <w:rPr>
                        <w:rFonts w:ascii="Cambria Math" w:hAnsi="Cambria Math" w:cs="Times New Roman"/>
                      </w:rPr>
                    </m:ctrlPr>
                  </m:den>
                </m:f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80" w:type="pct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CRITERIA</w:t>
            </w:r>
          </w:p>
        </w:tc>
        <w:tc>
          <w:tcPr>
            <w:tcW w:w="4119" w:type="pct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ascii="Cambria Math" w:hAnsi="Cambria Math" w:cs="Times New Roman"/>
                <w:oMath/>
              </w:rPr>
            </w:pPr>
            <w:bookmarkStart w:id="0" w:name="OLE_LINK1"/>
            <w:r>
              <w:rPr>
                <w:rFonts w:ascii="Times New Roman" w:hAnsi="Times New Roman" w:cs="Times New Roman"/>
              </w:rPr>
              <w:t>IC-2SD</w:t>
            </w:r>
            <w:bookmarkEnd w:id="0"/>
            <w:r>
              <w:rPr>
                <w:rFonts w:ascii="Times New Roman" w:hAnsi="Times New Roman" w:cs="Times New Roman"/>
              </w:rPr>
              <w:t xml:space="preserve"> &gt;0, (IC=E (IC</w:t>
            </w:r>
            <w:r>
              <w:rPr>
                <w:rFonts w:ascii="Times New Roman" w:hAnsi="Times New Roman" w:cs="Times New Roman"/>
                <w:vertAlign w:val="subscript"/>
              </w:rPr>
              <w:t>ij</w:t>
            </w:r>
            <w:r>
              <w:rPr>
                <w:rFonts w:ascii="Times New Roman" w:hAnsi="Times New Roman" w:cs="Times New Roman"/>
              </w:rPr>
              <w:t>), SD=</w:t>
            </w:r>
            <m:oMath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>
                  <m:ctrlPr>
                    <w:rPr>
                      <w:rFonts w:ascii="Cambria Math" w:hAnsi="Cambria Math" w:cs="Times New Roman"/>
                      <w:i/>
                    </w:rPr>
                  </m:ctrlPr>
                </m:deg>
                <m:e>
                  <m:r>
                    <m:rPr/>
                    <w:rPr>
                      <w:rFonts w:ascii="Cambria Math" w:hAnsi="Cambria Math" w:cs="Times New Roman"/>
                    </w:rPr>
                    <m:t>V(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m:rPr/>
                        <w:rPr>
                          <w:rFonts w:ascii="Cambria Math" w:hAnsi="Cambria Math" w:cs="Times New Roman"/>
                        </w:rPr>
                        <m:t>IC</m:t>
                      </m: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e>
                    <m:sub>
                      <m:r>
                        <m:rPr/>
                        <w:rPr>
                          <w:rFonts w:ascii="Cambria Math" w:hAnsi="Cambria Math" w:cs="Times New Roman"/>
                        </w:rPr>
                        <m:t>ij</m:t>
                      </m: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ub>
                  </m:sSub>
                  <m:r>
                    <m:rPr/>
                    <w:rPr>
                      <w:rFonts w:ascii="Cambria Math" w:hAnsi="Cambria Math" w:cs="Times New Roman"/>
                    </w:rPr>
                    <m:t>)</m:t>
                  </m:r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</m:rad>
            </m:oMath>
            <w:r>
              <w:rPr>
                <w:rFonts w:ascii="Times New Roman" w:hAnsi="Times New Roman" w:cs="Times New Roman"/>
              </w:rPr>
              <w:t xml:space="preserve"> 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80" w:type="pct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MHRA</w:t>
            </w:r>
          </w:p>
        </w:tc>
        <w:tc>
          <w:tcPr>
            <w:tcW w:w="4119" w:type="pct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ascii="Cambria Math" w:hAnsi="Cambria Math" w:cs="Times New Roman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PRR=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a×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a+b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</m:d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</m:d>
                    <m:ctrlPr>
                      <w:rPr>
                        <w:rFonts w:ascii="Cambria Math" w:hAnsi="Cambria Math" w:cs="Times New Roman"/>
                      </w:rPr>
                    </m:ctrlPr>
                  </m:num>
                  <m:den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c×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c+d</m:t>
                            </m: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</m:d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</m:d>
                    <m:ctrlPr>
                      <w:rPr>
                        <w:rFonts w:ascii="Cambria Math" w:hAnsi="Cambria Math" w:cs="Times New Roman"/>
                      </w:rPr>
                    </m:ctrlPr>
                  </m:den>
                </m:f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80" w:type="pct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9" w:type="pct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Cambria Math" w:hAnsi="Cambria Math" w:cs="Times New Roman"/>
                <w:oMath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 xml:space="preserve"> χ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dPr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a×d−b×c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−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n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den>
                            </m:f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e>
                        </m:d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2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×n</m:t>
                    </m:r>
                    <m:ctrlPr>
                      <w:rPr>
                        <w:rFonts w:ascii="Cambria Math" w:hAnsi="Cambria Math" w:cs="Times New Roman"/>
                      </w:rPr>
                    </m:ctrlPr>
                  </m:num>
                  <m:den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a+b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a+c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c+d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</m:d>
                    <m:d>
                      <m:dPr>
                        <m:ctrlPr>
                          <w:rPr>
                            <w:rFonts w:ascii="Cambria Math" w:hAnsi="Cambria Math" w:cs="Times New Roman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b+d</m:t>
                        </m:r>
                        <m:ctrlPr>
                          <w:rPr>
                            <w:rFonts w:ascii="Cambria Math" w:hAnsi="Cambria Math" w:cs="Times New Roman"/>
                          </w:rPr>
                        </m:ctrlPr>
                      </m:e>
                    </m:d>
                    <m:ctrlPr>
                      <w:rPr>
                        <w:rFonts w:ascii="Cambria Math" w:hAnsi="Cambria Math" w:cs="Times New Roman"/>
                      </w:rPr>
                    </m:ctrlPr>
                  </m:den>
                </m:f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80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CRITERIA</w:t>
            </w:r>
          </w:p>
        </w:tc>
        <w:tc>
          <w:tcPr>
            <w:tcW w:w="4119" w:type="pct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Cambria Math" w:hAnsi="Cambria Math" w:cs="Times New Roman"/>
                <w:oMath/>
              </w:rPr>
            </w:pPr>
            <w:r>
              <w:rPr>
                <w:rFonts w:ascii="Times New Roman" w:hAnsi="Times New Roman" w:cs="Times New Roman"/>
              </w:rPr>
              <w:t>PRR ≥ 2, χ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≥ 4, and a ≥ 3</w:t>
            </w:r>
          </w:p>
        </w:tc>
      </w:tr>
    </w:tbl>
    <w:p/>
    <w:p>
      <w:pPr>
        <w:rPr>
          <w:rFonts w:hint="eastAsia" w:cs="Calibri"/>
          <w:highlight w:val="none"/>
          <w:lang w:val="en-US" w:eastAsia="zh-CN" w:bidi="ar"/>
        </w:rPr>
      </w:pPr>
      <w:r>
        <w:rPr>
          <w:rFonts w:hint="eastAsia" w:cs="Calibri"/>
          <w:highlight w:val="none"/>
          <w:lang w:val="en-US" w:eastAsia="zh-CN" w:bidi="ar"/>
        </w:rPr>
        <w:t xml:space="preserve">Note: </w:t>
      </w:r>
      <w:r>
        <w:rPr>
          <w:rFonts w:hint="eastAsia" w:cs="Calibri"/>
          <w:i/>
          <w:iCs/>
          <w:highlight w:val="none"/>
          <w:u w:val="single"/>
          <w:lang w:eastAsia="zh" w:bidi="ar"/>
        </w:rPr>
        <w:t>a</w:t>
      </w:r>
      <w:r>
        <w:rPr>
          <w:rFonts w:hint="eastAsia" w:cs="Calibri"/>
          <w:highlight w:val="none"/>
          <w:lang w:eastAsia="zh" w:bidi="ar"/>
        </w:rPr>
        <w:t xml:space="preserve"> means </w:t>
      </w:r>
      <w:r>
        <w:rPr>
          <w:rFonts w:hint="eastAsia" w:cs="Calibri" w:eastAsiaTheme="minorEastAsia"/>
          <w:highlight w:val="none"/>
          <w:lang w:bidi="ar"/>
        </w:rPr>
        <w:t xml:space="preserve">the </w:t>
      </w:r>
      <w:r>
        <w:rPr>
          <w:rFonts w:hint="eastAsia" w:cs="Calibri"/>
          <w:highlight w:val="none"/>
          <w:lang w:eastAsia="zh" w:bidi="ar"/>
        </w:rPr>
        <w:t xml:space="preserve">number of reports containing both the target drug and target AE/SOC; </w:t>
      </w:r>
      <w:r>
        <w:rPr>
          <w:rFonts w:hint="eastAsia" w:cs="Calibri"/>
          <w:i/>
          <w:iCs/>
          <w:highlight w:val="none"/>
          <w:u w:val="single"/>
          <w:lang w:eastAsia="zh" w:bidi="ar"/>
        </w:rPr>
        <w:t>b</w:t>
      </w:r>
      <w:r>
        <w:rPr>
          <w:rFonts w:hint="eastAsia" w:cs="Calibri"/>
          <w:highlight w:val="none"/>
          <w:lang w:eastAsia="zh" w:bidi="ar"/>
        </w:rPr>
        <w:t xml:space="preserve"> means number of reports containing other AE/SOC of the target drug; </w:t>
      </w:r>
      <w:r>
        <w:rPr>
          <w:rFonts w:hint="eastAsia" w:cs="Calibri"/>
          <w:i/>
          <w:iCs/>
          <w:highlight w:val="none"/>
          <w:u w:val="single"/>
          <w:lang w:eastAsia="zh" w:bidi="ar"/>
        </w:rPr>
        <w:t>c</w:t>
      </w:r>
      <w:r>
        <w:rPr>
          <w:rFonts w:hint="eastAsia" w:cs="Calibri"/>
          <w:highlight w:val="none"/>
          <w:lang w:eastAsia="zh" w:bidi="ar"/>
        </w:rPr>
        <w:t xml:space="preserve"> means </w:t>
      </w:r>
      <w:r>
        <w:rPr>
          <w:rFonts w:hint="eastAsia" w:cs="Calibri" w:eastAsiaTheme="minorEastAsia"/>
          <w:highlight w:val="none"/>
          <w:lang w:bidi="ar"/>
        </w:rPr>
        <w:t xml:space="preserve">the </w:t>
      </w:r>
      <w:r>
        <w:rPr>
          <w:rFonts w:hint="eastAsia" w:cs="Calibri"/>
          <w:highlight w:val="none"/>
          <w:lang w:eastAsia="zh" w:bidi="ar"/>
        </w:rPr>
        <w:t xml:space="preserve">number of reports containing the target AE/SOC of other drugs; </w:t>
      </w:r>
      <w:r>
        <w:rPr>
          <w:rFonts w:hint="eastAsia" w:cs="Calibri"/>
          <w:i/>
          <w:iCs/>
          <w:highlight w:val="none"/>
          <w:u w:val="single"/>
          <w:lang w:eastAsia="zh" w:bidi="ar"/>
        </w:rPr>
        <w:t>d</w:t>
      </w:r>
      <w:r>
        <w:rPr>
          <w:rFonts w:hint="eastAsia" w:cs="Calibri"/>
          <w:highlight w:val="none"/>
          <w:lang w:eastAsia="zh" w:bidi="ar"/>
        </w:rPr>
        <w:t xml:space="preserve"> means </w:t>
      </w:r>
      <w:r>
        <w:rPr>
          <w:rFonts w:hint="eastAsia" w:cs="Calibri" w:eastAsiaTheme="minorEastAsia"/>
          <w:highlight w:val="none"/>
          <w:lang w:bidi="ar"/>
        </w:rPr>
        <w:t xml:space="preserve">the </w:t>
      </w:r>
      <w:r>
        <w:rPr>
          <w:rFonts w:hint="eastAsia" w:cs="Calibri"/>
          <w:highlight w:val="none"/>
          <w:lang w:eastAsia="zh" w:bidi="ar"/>
        </w:rPr>
        <w:t>number of reports containing other drugs and other AE/SOC</w:t>
      </w:r>
      <w:r>
        <w:rPr>
          <w:rFonts w:hint="eastAsia" w:cs="Calibri"/>
          <w:highlight w:val="none"/>
          <w:lang w:val="en-US" w:eastAsia="zh-CN" w:bidi="ar"/>
        </w:rPr>
        <w:t>.</w:t>
      </w:r>
    </w:p>
    <w:p>
      <w:pPr>
        <w:rPr>
          <w:rFonts w:hint="eastAsia" w:cs="Calibri"/>
          <w:highlight w:val="none"/>
          <w:lang w:val="en-US" w:eastAsia="zh-CN" w:bidi="ar"/>
        </w:rPr>
      </w:pPr>
      <w:r>
        <w:rPr>
          <w:rFonts w:hint="eastAsia" w:cs="Calibri"/>
          <w:highlight w:val="none"/>
          <w:lang w:val="en-US" w:eastAsia="zh-CN" w:bidi="ar"/>
        </w:rPr>
        <w:t>When the calculation result is satisfied with both a≥3, χ2≥4, proportional reporting ratio (PRR)≥2, lower limit of the information component (IC-2SD) &gt;0, one positive signal is recognized.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hMWU5NWQ1YTQyNTNlZjhlYTE2ODNjMThkNzYzZjEifQ=="/>
  </w:docVars>
  <w:rsids>
    <w:rsidRoot w:val="00000000"/>
    <w:rsid w:val="0581594B"/>
    <w:rsid w:val="09EA0C71"/>
    <w:rsid w:val="143311A9"/>
    <w:rsid w:val="2B7F0A8B"/>
    <w:rsid w:val="69A0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大理大学引文格式"/>
    <w:basedOn w:val="1"/>
    <w:autoRedefine/>
    <w:qFormat/>
    <w:uiPriority w:val="0"/>
    <w:pPr>
      <w:spacing w:line="320" w:lineRule="exact"/>
    </w:pPr>
    <w:rPr>
      <w:rFonts w:ascii="Times New Roman" w:hAnsi="Times New Roman" w:eastAsia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2023-12-27T11:30:00Z</dcterms:created>
  <dc:creator>七彩虹的爹</dc:creator>
  <cp:lastModifiedBy>祝豆豆</cp:lastModifiedBy>
  <dcterms:modified xsi:type="dcterms:W3CDTF">2024-04-19T15:13:49Z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3734C1371A684A7FB1BA1BA572DF55D9_12</vt:lpwstr>
  </property>
</Properties>
</file>