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CA500" w14:textId="77777777" w:rsidR="0096377F" w:rsidRPr="003952C9" w:rsidRDefault="0096377F" w:rsidP="0096377F">
      <w:pPr>
        <w:spacing w:line="360" w:lineRule="auto"/>
        <w:rPr>
          <w:b/>
          <w:sz w:val="22"/>
          <w:szCs w:val="22"/>
        </w:rPr>
      </w:pPr>
      <w:r w:rsidRPr="003952C9">
        <w:rPr>
          <w:b/>
          <w:sz w:val="22"/>
          <w:szCs w:val="22"/>
        </w:rPr>
        <w:t xml:space="preserve">Cardioprotective effects of </w:t>
      </w:r>
      <w:r>
        <w:rPr>
          <w:b/>
          <w:sz w:val="22"/>
          <w:szCs w:val="22"/>
        </w:rPr>
        <w:t xml:space="preserve">early versus late initiated </w:t>
      </w:r>
      <w:r w:rsidRPr="003952C9">
        <w:rPr>
          <w:b/>
          <w:sz w:val="22"/>
          <w:szCs w:val="22"/>
        </w:rPr>
        <w:t>antiretroviral treatment in adolescents with perinatal HIV</w:t>
      </w:r>
      <w:r>
        <w:rPr>
          <w:b/>
          <w:sz w:val="22"/>
          <w:szCs w:val="22"/>
        </w:rPr>
        <w:t>-1</w:t>
      </w:r>
      <w:r w:rsidRPr="003952C9">
        <w:rPr>
          <w:b/>
          <w:sz w:val="22"/>
          <w:szCs w:val="22"/>
        </w:rPr>
        <w:t xml:space="preserve"> infection.</w:t>
      </w:r>
    </w:p>
    <w:p w14:paraId="0C42BB8F" w14:textId="77777777" w:rsidR="0096377F" w:rsidRPr="003952C9" w:rsidRDefault="0096377F" w:rsidP="0096377F">
      <w:pPr>
        <w:spacing w:before="240" w:line="360" w:lineRule="auto"/>
        <w:rPr>
          <w:sz w:val="22"/>
          <w:szCs w:val="22"/>
        </w:rPr>
      </w:pPr>
      <w:r w:rsidRPr="003952C9">
        <w:rPr>
          <w:sz w:val="22"/>
          <w:szCs w:val="22"/>
        </w:rPr>
        <w:t>Itai M Magodoro</w:t>
      </w:r>
      <w:r w:rsidRPr="003952C9">
        <w:rPr>
          <w:sz w:val="22"/>
          <w:szCs w:val="22"/>
          <w:vertAlign w:val="superscript"/>
        </w:rPr>
        <w:t>1</w:t>
      </w:r>
      <w:r w:rsidRPr="003952C9">
        <w:rPr>
          <w:sz w:val="22"/>
          <w:szCs w:val="22"/>
        </w:rPr>
        <w:t>, Carlos E Guerrero-Chalela</w:t>
      </w:r>
      <w:r w:rsidRPr="003952C9">
        <w:rPr>
          <w:sz w:val="22"/>
          <w:szCs w:val="22"/>
          <w:vertAlign w:val="superscript"/>
        </w:rPr>
        <w:t>2</w:t>
      </w:r>
      <w:r w:rsidRPr="003952C9">
        <w:rPr>
          <w:sz w:val="22"/>
          <w:szCs w:val="22"/>
        </w:rPr>
        <w:t>, Brian Claggett</w:t>
      </w:r>
      <w:r w:rsidRPr="003952C9">
        <w:rPr>
          <w:sz w:val="22"/>
          <w:szCs w:val="22"/>
          <w:vertAlign w:val="superscript"/>
        </w:rPr>
        <w:t>3, 4</w:t>
      </w:r>
      <w:r w:rsidRPr="003952C9">
        <w:rPr>
          <w:sz w:val="22"/>
          <w:szCs w:val="22"/>
        </w:rPr>
        <w:t>, Stephen Jermy</w:t>
      </w:r>
      <w:r w:rsidRPr="003952C9">
        <w:rPr>
          <w:sz w:val="22"/>
          <w:szCs w:val="22"/>
          <w:vertAlign w:val="superscript"/>
        </w:rPr>
        <w:t>5</w:t>
      </w:r>
      <w:r w:rsidRPr="003952C9">
        <w:rPr>
          <w:sz w:val="22"/>
          <w:szCs w:val="22"/>
        </w:rPr>
        <w:t>, Petronella Samuels</w:t>
      </w:r>
      <w:r w:rsidRPr="003952C9">
        <w:rPr>
          <w:sz w:val="22"/>
          <w:szCs w:val="22"/>
          <w:vertAlign w:val="superscript"/>
        </w:rPr>
        <w:t>5</w:t>
      </w:r>
      <w:r w:rsidRPr="003952C9">
        <w:rPr>
          <w:sz w:val="22"/>
          <w:szCs w:val="22"/>
        </w:rPr>
        <w:t>, Landon Myer</w:t>
      </w:r>
      <w:r w:rsidRPr="003952C9">
        <w:rPr>
          <w:sz w:val="22"/>
          <w:szCs w:val="22"/>
          <w:vertAlign w:val="superscript"/>
        </w:rPr>
        <w:t>6</w:t>
      </w:r>
      <w:r w:rsidRPr="003952C9">
        <w:rPr>
          <w:sz w:val="22"/>
          <w:szCs w:val="22"/>
        </w:rPr>
        <w:t>, Heather Zar</w:t>
      </w:r>
      <w:r w:rsidRPr="003952C9">
        <w:rPr>
          <w:sz w:val="22"/>
          <w:szCs w:val="22"/>
          <w:vertAlign w:val="superscript"/>
        </w:rPr>
        <w:t>7</w:t>
      </w:r>
      <w:r w:rsidRPr="003952C9">
        <w:rPr>
          <w:sz w:val="22"/>
          <w:szCs w:val="22"/>
        </w:rPr>
        <w:t>, Jennifer Jao</w:t>
      </w:r>
      <w:r w:rsidRPr="003952C9">
        <w:rPr>
          <w:sz w:val="22"/>
          <w:szCs w:val="22"/>
          <w:vertAlign w:val="superscript"/>
        </w:rPr>
        <w:t>8, 9</w:t>
      </w:r>
      <w:r w:rsidRPr="003952C9">
        <w:rPr>
          <w:sz w:val="22"/>
          <w:szCs w:val="22"/>
        </w:rPr>
        <w:t>, Mpiko Ntsekhe</w:t>
      </w:r>
      <w:r w:rsidRPr="003952C9">
        <w:rPr>
          <w:sz w:val="22"/>
          <w:szCs w:val="22"/>
          <w:vertAlign w:val="superscript"/>
        </w:rPr>
        <w:t>1</w:t>
      </w:r>
      <w:r w:rsidRPr="003952C9">
        <w:rPr>
          <w:sz w:val="22"/>
          <w:szCs w:val="22"/>
        </w:rPr>
        <w:t>, Mark J Siedner</w:t>
      </w:r>
      <w:r w:rsidRPr="003952C9">
        <w:rPr>
          <w:sz w:val="22"/>
          <w:szCs w:val="22"/>
          <w:vertAlign w:val="superscript"/>
        </w:rPr>
        <w:t>10, 11</w:t>
      </w:r>
      <w:r w:rsidRPr="003952C9">
        <w:rPr>
          <w:sz w:val="22"/>
          <w:szCs w:val="22"/>
        </w:rPr>
        <w:t>, Ntobeko AB Ntusi</w:t>
      </w:r>
      <w:r w:rsidRPr="003952C9">
        <w:rPr>
          <w:sz w:val="22"/>
          <w:szCs w:val="22"/>
          <w:vertAlign w:val="superscript"/>
        </w:rPr>
        <w:t>1, 5, 12, 13</w:t>
      </w:r>
      <w:r w:rsidRPr="003952C9">
        <w:rPr>
          <w:sz w:val="22"/>
          <w:szCs w:val="22"/>
        </w:rPr>
        <w:t>*</w:t>
      </w:r>
    </w:p>
    <w:p w14:paraId="77220628" w14:textId="77777777" w:rsidR="0096377F" w:rsidRPr="003952C9" w:rsidRDefault="0096377F" w:rsidP="0096377F">
      <w:pPr>
        <w:spacing w:line="360" w:lineRule="auto"/>
        <w:rPr>
          <w:sz w:val="22"/>
          <w:szCs w:val="22"/>
        </w:rPr>
      </w:pPr>
    </w:p>
    <w:p w14:paraId="6F5328FC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Department of Medicine, University of Cape Town, Cape Town, South Africa</w:t>
      </w:r>
    </w:p>
    <w:p w14:paraId="64584082" w14:textId="1E6EC5BF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  <w:lang w:val="es-CO"/>
        </w:rPr>
      </w:pPr>
      <w:r w:rsidRPr="003952C9">
        <w:rPr>
          <w:rFonts w:eastAsia="Calibri"/>
          <w:color w:val="000000"/>
          <w:sz w:val="22"/>
          <w:szCs w:val="22"/>
          <w:lang w:val="es-CO"/>
        </w:rPr>
        <w:t>Fundación Cardioinfantil Instituto de Cardiología, Bogotá D.C., Colombia</w:t>
      </w:r>
    </w:p>
    <w:p w14:paraId="28AFA9E6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Cardiology Division, Brigham and Women’s Hospital, Boston, MA, USA</w:t>
      </w:r>
    </w:p>
    <w:p w14:paraId="76159AE4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Harvard Medical School, Boston, MA, USA</w:t>
      </w:r>
    </w:p>
    <w:p w14:paraId="35E421D4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Cape Universities Body Imaging Centre, University of Cape Town, Cape Town, South Africa</w:t>
      </w:r>
    </w:p>
    <w:p w14:paraId="0BF28561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50"/>
        <w:rPr>
          <w:color w:val="000000"/>
          <w:sz w:val="22"/>
          <w:szCs w:val="22"/>
        </w:rPr>
      </w:pPr>
      <w:r w:rsidRPr="003952C9">
        <w:rPr>
          <w:color w:val="000000"/>
          <w:sz w:val="22"/>
          <w:szCs w:val="22"/>
        </w:rPr>
        <w:t>Division of Epidemiology and Biostatistics, School of Public Health and Family Medicine, University of Cape Town, Cape Town, South Africa</w:t>
      </w:r>
    </w:p>
    <w:p w14:paraId="71F39907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50"/>
        <w:rPr>
          <w:color w:val="000000"/>
          <w:sz w:val="22"/>
          <w:szCs w:val="22"/>
        </w:rPr>
      </w:pPr>
      <w:r w:rsidRPr="003952C9">
        <w:rPr>
          <w:color w:val="000000"/>
          <w:sz w:val="22"/>
          <w:szCs w:val="22"/>
        </w:rPr>
        <w:t>Department of Pediatrics and Child Health, and SA-MRC Unit on Child and Adolescent Health, University of Cape Town, Cape Town, South Africa</w:t>
      </w:r>
    </w:p>
    <w:p w14:paraId="294283A0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70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Department of Pediatrics, Division of Pediatric Infectious Diseases, Northwestern University Feinberg School of Medicine, Chicago, IL, USA</w:t>
      </w:r>
    </w:p>
    <w:p w14:paraId="77C0621F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70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Department of Internal Medicine, Division of Adult Infectious Diseases, Northwestern University Feinberg School of Medicine, Chicago, IL, USA</w:t>
      </w:r>
    </w:p>
    <w:p w14:paraId="2A8126AA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Center for Global Health, Massachusetts General Hospital, Boston, MA, USA</w:t>
      </w:r>
    </w:p>
    <w:p w14:paraId="37B514B6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336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 xml:space="preserve">Africa Health Research Institute, KwaZulu-Natal, South Africa </w:t>
      </w:r>
    </w:p>
    <w:p w14:paraId="38E85280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70"/>
        <w:rPr>
          <w:rFonts w:eastAsia="Calibri"/>
          <w:color w:val="000000"/>
          <w:sz w:val="22"/>
          <w:szCs w:val="22"/>
        </w:rPr>
      </w:pPr>
      <w:r w:rsidRPr="003952C9">
        <w:rPr>
          <w:rFonts w:eastAsia="Calibri"/>
          <w:color w:val="000000"/>
          <w:sz w:val="22"/>
          <w:szCs w:val="22"/>
        </w:rPr>
        <w:t>South African Medical Research Council Extramural Unit on Noncommunicable Diseases and Infectious Diseases, Cape Town, South Africa</w:t>
      </w:r>
      <w:r w:rsidRPr="003952C9">
        <w:rPr>
          <w:sz w:val="22"/>
          <w:szCs w:val="22"/>
        </w:rPr>
        <w:t xml:space="preserve"> </w:t>
      </w:r>
    </w:p>
    <w:p w14:paraId="43B1BDCF" w14:textId="77777777" w:rsidR="0096377F" w:rsidRPr="003952C9" w:rsidRDefault="0096377F" w:rsidP="009637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70"/>
        <w:rPr>
          <w:rFonts w:eastAsia="Calibri"/>
          <w:color w:val="000000"/>
          <w:sz w:val="22"/>
          <w:szCs w:val="22"/>
        </w:rPr>
      </w:pPr>
      <w:r w:rsidRPr="003952C9">
        <w:rPr>
          <w:sz w:val="22"/>
          <w:szCs w:val="22"/>
        </w:rPr>
        <w:t>ARUA/Guild Cluster of Research Excellence on Noncommunicable Diseases and Associated Multimorbidity</w:t>
      </w:r>
    </w:p>
    <w:p w14:paraId="54468E47" w14:textId="77777777" w:rsidR="0096377F" w:rsidRDefault="0096377F">
      <w:pPr>
        <w:spacing w:after="160" w:line="259" w:lineRule="auto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br w:type="page"/>
      </w:r>
    </w:p>
    <w:p w14:paraId="2EA62A0C" w14:textId="18CEE57C" w:rsidR="001E1C3D" w:rsidRPr="003952C9" w:rsidRDefault="001E1C3D" w:rsidP="001E1C3D">
      <w:pPr>
        <w:spacing w:line="360" w:lineRule="auto"/>
        <w:rPr>
          <w:rFonts w:eastAsia="Calibri"/>
          <w:b/>
          <w:sz w:val="22"/>
          <w:szCs w:val="22"/>
        </w:rPr>
      </w:pPr>
      <w:r w:rsidRPr="003952C9">
        <w:rPr>
          <w:rFonts w:eastAsia="Calibri"/>
          <w:b/>
          <w:sz w:val="22"/>
          <w:szCs w:val="22"/>
        </w:rPr>
        <w:lastRenderedPageBreak/>
        <w:t>Supplementary Table S1. Cardiac magnetic resonance (CMR) sequence parameters.</w:t>
      </w:r>
    </w:p>
    <w:p w14:paraId="37A7E1AE" w14:textId="77777777" w:rsidR="001E1C3D" w:rsidRPr="003952C9" w:rsidRDefault="001E1C3D" w:rsidP="001E1C3D">
      <w:pPr>
        <w:spacing w:after="160" w:line="256" w:lineRule="auto"/>
        <w:rPr>
          <w:rFonts w:eastAsia="Calibri"/>
          <w:b/>
          <w:sz w:val="22"/>
          <w:szCs w:val="22"/>
          <w:u w:val="single"/>
        </w:rPr>
      </w:pPr>
    </w:p>
    <w:tbl>
      <w:tblPr>
        <w:tblW w:w="9360" w:type="dxa"/>
        <w:tblBorders>
          <w:insideH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1E1C3D" w:rsidRPr="003952C9" w14:paraId="7A53D7C9" w14:textId="77777777" w:rsidTr="00236043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89A973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</w:rPr>
            </w:pPr>
            <w:bookmarkStart w:id="0" w:name="_Hlk110164154"/>
            <w:r w:rsidRPr="003952C9">
              <w:rPr>
                <w:b/>
                <w:sz w:val="22"/>
                <w:szCs w:val="22"/>
              </w:rPr>
              <w:t>Technique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876E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3952C9">
              <w:rPr>
                <w:b/>
                <w:sz w:val="22"/>
                <w:szCs w:val="22"/>
              </w:rPr>
              <w:t>Cine imaging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5AF5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3952C9">
              <w:rPr>
                <w:b/>
                <w:sz w:val="22"/>
                <w:szCs w:val="22"/>
              </w:rPr>
              <w:t xml:space="preserve">T1 mapping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343B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3952C9">
              <w:rPr>
                <w:b/>
                <w:sz w:val="22"/>
                <w:szCs w:val="22"/>
              </w:rPr>
              <w:t>T2 mapping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3CA35C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3952C9">
              <w:rPr>
                <w:b/>
                <w:sz w:val="22"/>
                <w:szCs w:val="22"/>
              </w:rPr>
              <w:t xml:space="preserve">Late gadolinium enhancement </w:t>
            </w:r>
          </w:p>
        </w:tc>
      </w:tr>
      <w:tr w:rsidR="001E1C3D" w:rsidRPr="003952C9" w14:paraId="34692B44" w14:textId="77777777" w:rsidTr="00236043">
        <w:trPr>
          <w:trHeight w:val="25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A3247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  <w:u w:val="single"/>
              </w:rPr>
            </w:pPr>
            <w:r w:rsidRPr="003952C9">
              <w:rPr>
                <w:sz w:val="22"/>
                <w:szCs w:val="22"/>
              </w:rPr>
              <w:t>Sequence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BC2A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  <w:u w:val="single"/>
              </w:rPr>
            </w:pPr>
            <w:r w:rsidRPr="003952C9">
              <w:rPr>
                <w:sz w:val="22"/>
                <w:szCs w:val="22"/>
              </w:rPr>
              <w:t>Segmented balanced steady state free precession (bSSFP)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6029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  <w:u w:val="single"/>
              </w:rPr>
            </w:pPr>
            <w:r w:rsidRPr="003952C9">
              <w:rPr>
                <w:sz w:val="22"/>
                <w:szCs w:val="22"/>
              </w:rPr>
              <w:t>Modified Look-Locker Inversion-Recovery (MOLLI)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FAFC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T2-prepared bSSFP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345337" w14:textId="77777777" w:rsidR="001E1C3D" w:rsidRPr="003952C9" w:rsidRDefault="001E1C3D" w:rsidP="00236043">
            <w:pPr>
              <w:spacing w:after="160" w:line="256" w:lineRule="auto"/>
              <w:rPr>
                <w:b/>
                <w:sz w:val="22"/>
                <w:szCs w:val="22"/>
                <w:u w:val="single"/>
              </w:rPr>
            </w:pPr>
            <w:r w:rsidRPr="003952C9">
              <w:rPr>
                <w:sz w:val="22"/>
                <w:szCs w:val="22"/>
              </w:rPr>
              <w:t>T1- weighted segmented gradient echo inversion recovery</w:t>
            </w:r>
          </w:p>
        </w:tc>
      </w:tr>
      <w:tr w:rsidR="001E1C3D" w:rsidRPr="003952C9" w14:paraId="73C4B858" w14:textId="77777777" w:rsidTr="00236043">
        <w:trPr>
          <w:trHeight w:val="25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D9D37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FOV</w:t>
            </w:r>
            <w:r w:rsidRPr="003952C9">
              <w:rPr>
                <w:rFonts w:eastAsia="Calibri"/>
                <w:sz w:val="22"/>
                <w:szCs w:val="22"/>
              </w:rPr>
              <w:t xml:space="preserve"> read </w:t>
            </w:r>
            <w:r w:rsidRPr="003952C9">
              <w:rPr>
                <w:sz w:val="22"/>
                <w:szCs w:val="22"/>
              </w:rPr>
              <w:t>(mm)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3071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360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3EF5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360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C2A07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360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B50D1C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360</w:t>
            </w:r>
          </w:p>
        </w:tc>
      </w:tr>
      <w:tr w:rsidR="001E1C3D" w:rsidRPr="003952C9" w14:paraId="5E99B2CE" w14:textId="77777777" w:rsidTr="00236043">
        <w:trPr>
          <w:trHeight w:val="25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10B9E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FOV phase (%)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8BC8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75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5A43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75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97AD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75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08B1CB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75</w:t>
            </w:r>
          </w:p>
        </w:tc>
      </w:tr>
      <w:tr w:rsidR="001E1C3D" w:rsidRPr="003952C9" w14:paraId="6520FE08" w14:textId="77777777" w:rsidTr="00236043">
        <w:trPr>
          <w:trHeight w:val="25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D5EA1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T</w:t>
            </w:r>
            <w:r w:rsidRPr="003952C9">
              <w:rPr>
                <w:rFonts w:eastAsia="Calibri"/>
                <w:sz w:val="22"/>
                <w:szCs w:val="22"/>
              </w:rPr>
              <w:t>R</w:t>
            </w:r>
            <w:r w:rsidRPr="003952C9">
              <w:rPr>
                <w:sz w:val="22"/>
                <w:szCs w:val="22"/>
              </w:rPr>
              <w:t xml:space="preserve"> (ms)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1F82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45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699B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270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6607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204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880B2A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874</w:t>
            </w:r>
          </w:p>
        </w:tc>
      </w:tr>
      <w:tr w:rsidR="001E1C3D" w:rsidRPr="003952C9" w14:paraId="69339038" w14:textId="77777777" w:rsidTr="00236043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E6674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TE (ms)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390C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1.67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5116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1.12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76A8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1.32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A9DF7AE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1.95</w:t>
            </w:r>
          </w:p>
        </w:tc>
      </w:tr>
      <w:tr w:rsidR="001E1C3D" w:rsidRPr="003952C9" w14:paraId="34AFA09A" w14:textId="77777777" w:rsidTr="00236043">
        <w:trPr>
          <w:trHeight w:val="25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0B584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Flip angle (°)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8EDA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40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0B73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35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14D7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AD62AF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20</w:t>
            </w:r>
          </w:p>
        </w:tc>
      </w:tr>
      <w:tr w:rsidR="001E1C3D" w:rsidRPr="003952C9" w14:paraId="6716BD2F" w14:textId="77777777" w:rsidTr="00236043">
        <w:trPr>
          <w:trHeight w:val="25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1034B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Voxel size (mm</w:t>
            </w:r>
            <w:r w:rsidRPr="003952C9">
              <w:rPr>
                <w:sz w:val="22"/>
                <w:szCs w:val="22"/>
                <w:vertAlign w:val="superscript"/>
              </w:rPr>
              <w:t>3</w:t>
            </w:r>
            <w:r w:rsidRPr="003952C9">
              <w:rPr>
                <w:sz w:val="22"/>
                <w:szCs w:val="22"/>
              </w:rPr>
              <w:t>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3BCC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1.73 x 1.73 x 8.0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DBFF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1.40 x 1.40 x 8.0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AC24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1.88 x 1.88 x 8.0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16A724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1.41 x 1.41 x 8.0</w:t>
            </w:r>
          </w:p>
        </w:tc>
      </w:tr>
      <w:tr w:rsidR="001E1C3D" w:rsidRPr="003952C9" w14:paraId="1ED1B3FC" w14:textId="77777777" w:rsidTr="00236043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49B3F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Comments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C4A9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25 phases per RR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5C23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 xml:space="preserve">5(3)3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9543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0; 25; 55 ms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9B106A" w14:textId="77777777" w:rsidR="001E1C3D" w:rsidRPr="003952C9" w:rsidRDefault="001E1C3D" w:rsidP="00236043">
            <w:pPr>
              <w:spacing w:after="160" w:line="256" w:lineRule="auto"/>
              <w:rPr>
                <w:sz w:val="22"/>
                <w:szCs w:val="22"/>
              </w:rPr>
            </w:pPr>
            <w:r w:rsidRPr="003952C9">
              <w:rPr>
                <w:sz w:val="22"/>
                <w:szCs w:val="22"/>
              </w:rPr>
              <w:t>Magnevist (0.2 ml/kg)</w:t>
            </w:r>
          </w:p>
        </w:tc>
      </w:tr>
      <w:bookmarkEnd w:id="0"/>
    </w:tbl>
    <w:p w14:paraId="6DF29F97" w14:textId="77777777" w:rsidR="001E1C3D" w:rsidRPr="003952C9" w:rsidRDefault="001E1C3D" w:rsidP="001E1C3D">
      <w:pPr>
        <w:spacing w:after="160" w:line="256" w:lineRule="auto"/>
        <w:rPr>
          <w:rFonts w:eastAsia="Calibri"/>
          <w:b/>
          <w:sz w:val="22"/>
          <w:szCs w:val="22"/>
          <w:u w:val="single"/>
        </w:rPr>
      </w:pPr>
    </w:p>
    <w:p w14:paraId="0FE143EB" w14:textId="77777777" w:rsidR="001E1C3D" w:rsidRPr="003952C9" w:rsidRDefault="001E1C3D" w:rsidP="001E1C3D">
      <w:pPr>
        <w:spacing w:after="160"/>
        <w:rPr>
          <w:b/>
          <w:sz w:val="22"/>
          <w:szCs w:val="22"/>
        </w:rPr>
      </w:pPr>
      <w:r w:rsidRPr="003952C9">
        <w:rPr>
          <w:rFonts w:eastAsia="Calibri"/>
          <w:bCs/>
          <w:sz w:val="22"/>
          <w:szCs w:val="22"/>
        </w:rPr>
        <w:t>FOV = field of view; TR = repetition time; TE = echo time.</w:t>
      </w:r>
    </w:p>
    <w:p w14:paraId="4FF73CC0" w14:textId="77777777" w:rsidR="001E1C3D" w:rsidRPr="003952C9" w:rsidRDefault="001E1C3D" w:rsidP="001E1C3D">
      <w:pPr>
        <w:jc w:val="both"/>
        <w:rPr>
          <w:sz w:val="22"/>
          <w:szCs w:val="22"/>
        </w:rPr>
      </w:pPr>
      <w:r w:rsidRPr="003952C9">
        <w:rPr>
          <w:sz w:val="22"/>
          <w:szCs w:val="22"/>
        </w:rPr>
        <w:fldChar w:fldCharType="begin"/>
      </w:r>
      <w:r w:rsidRPr="003952C9">
        <w:rPr>
          <w:sz w:val="22"/>
          <w:szCs w:val="22"/>
        </w:rPr>
        <w:instrText xml:space="preserve"> ADDIN </w:instrText>
      </w:r>
      <w:r w:rsidRPr="003952C9">
        <w:rPr>
          <w:sz w:val="22"/>
          <w:szCs w:val="22"/>
        </w:rPr>
        <w:fldChar w:fldCharType="end"/>
      </w:r>
    </w:p>
    <w:p w14:paraId="225F8969" w14:textId="77777777" w:rsidR="00EB61FD" w:rsidRPr="001E1C3D" w:rsidRDefault="00EB61FD" w:rsidP="001E1C3D"/>
    <w:sectPr w:rsidR="00EB61FD" w:rsidRPr="001E1C3D" w:rsidSect="00633121">
      <w:pgSz w:w="12240" w:h="15840"/>
      <w:pgMar w:top="1440" w:right="1440" w:bottom="1440" w:left="1440" w:header="706" w:footer="706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4406F7"/>
    <w:multiLevelType w:val="multilevel"/>
    <w:tmpl w:val="9E8CFE50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superscrip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24911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3D"/>
    <w:rsid w:val="00112E22"/>
    <w:rsid w:val="0019356A"/>
    <w:rsid w:val="001B6838"/>
    <w:rsid w:val="001E1C3D"/>
    <w:rsid w:val="00633121"/>
    <w:rsid w:val="0096377F"/>
    <w:rsid w:val="00BD0CC2"/>
    <w:rsid w:val="00C2178E"/>
    <w:rsid w:val="00EB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0A12F"/>
  <w15:chartTrackingRefBased/>
  <w15:docId w15:val="{68E61605-2BFC-47A3-9226-776A43C2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C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C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C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C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C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C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C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C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C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C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C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1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C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1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C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1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C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1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C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Itai Magodoro</dc:creator>
  <cp:keywords/>
  <dc:description/>
  <cp:lastModifiedBy>Itai Magodoro</cp:lastModifiedBy>
  <cp:revision>4</cp:revision>
  <dcterms:created xsi:type="dcterms:W3CDTF">2024-05-08T21:58:00Z</dcterms:created>
  <dcterms:modified xsi:type="dcterms:W3CDTF">2024-05-09T00:12:00Z</dcterms:modified>
</cp:coreProperties>
</file>