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3D5" w:rsidRPr="00CB3FA2" w:rsidRDefault="006213D5" w:rsidP="006213D5">
      <w:pPr>
        <w:spacing w:line="480" w:lineRule="auto"/>
        <w:contextualSpacing/>
        <w:jc w:val="both"/>
        <w:rPr>
          <w:rFonts w:cs="Arial"/>
          <w:b/>
          <w:kern w:val="0"/>
          <w14:ligatures w14:val="none"/>
        </w:rPr>
      </w:pPr>
      <w:bookmarkStart w:id="0" w:name="_GoBack"/>
      <w:r w:rsidRPr="00CB3FA2">
        <w:rPr>
          <w:rFonts w:cs="Arial"/>
          <w:b/>
          <w:kern w:val="0"/>
          <w14:ligatures w14:val="none"/>
        </w:rPr>
        <w:t>SUPPLEMENTARY FIGURE LEGENDS</w:t>
      </w:r>
    </w:p>
    <w:p w:rsidR="006213D5" w:rsidRPr="00A712E7" w:rsidRDefault="006213D5" w:rsidP="006213D5">
      <w:pPr>
        <w:spacing w:line="480" w:lineRule="auto"/>
        <w:contextualSpacing/>
        <w:jc w:val="both"/>
        <w:rPr>
          <w:rFonts w:cs="Arial"/>
          <w:b/>
          <w:kern w:val="0"/>
          <w14:ligatures w14:val="none"/>
        </w:rPr>
      </w:pPr>
    </w:p>
    <w:p w:rsidR="006213D5" w:rsidRDefault="006213D5" w:rsidP="006213D5">
      <w:pPr>
        <w:spacing w:line="480" w:lineRule="auto"/>
        <w:contextualSpacing/>
        <w:jc w:val="both"/>
        <w:rPr>
          <w:rFonts w:cs="Arial"/>
          <w:kern w:val="0"/>
          <w14:ligatures w14:val="none"/>
        </w:rPr>
      </w:pPr>
      <w:r w:rsidRPr="00FE722B">
        <w:rPr>
          <w:rFonts w:cs="Arial"/>
          <w:b/>
          <w:kern w:val="0"/>
          <w:u w:val="single"/>
          <w14:ligatures w14:val="none"/>
        </w:rPr>
        <w:t xml:space="preserve">Supplementary Figure </w:t>
      </w:r>
      <w:r>
        <w:rPr>
          <w:rFonts w:cs="Arial"/>
          <w:b/>
          <w:kern w:val="0"/>
          <w:u w:val="single"/>
          <w14:ligatures w14:val="none"/>
        </w:rPr>
        <w:t>S</w:t>
      </w:r>
      <w:r w:rsidRPr="00FE722B">
        <w:rPr>
          <w:rFonts w:cs="Arial"/>
          <w:b/>
          <w:kern w:val="0"/>
          <w:u w:val="single"/>
          <w14:ligatures w14:val="none"/>
        </w:rPr>
        <w:t>1</w:t>
      </w:r>
      <w:r w:rsidRPr="003E4498">
        <w:rPr>
          <w:rFonts w:cs="Arial"/>
          <w:b/>
          <w:kern w:val="0"/>
          <w:u w:val="single"/>
          <w14:ligatures w14:val="none"/>
        </w:rPr>
        <w:t>.</w:t>
      </w:r>
      <w:r w:rsidRPr="00FE722B">
        <w:rPr>
          <w:rFonts w:cs="Arial"/>
          <w:b/>
          <w:kern w:val="0"/>
          <w14:ligatures w14:val="none"/>
        </w:rPr>
        <w:t xml:space="preserve"> ALT levels and survival of male and female mice </w:t>
      </w:r>
      <w:r w:rsidRPr="00931C2D">
        <w:rPr>
          <w:rFonts w:cs="Arial"/>
          <w:b/>
          <w:kern w:val="0"/>
          <w14:ligatures w14:val="none"/>
        </w:rPr>
        <w:t>repeatedly</w:t>
      </w:r>
      <w:r w:rsidRPr="00FE722B">
        <w:rPr>
          <w:rFonts w:cs="Arial"/>
          <w:b/>
          <w:kern w:val="0"/>
          <w14:ligatures w14:val="none"/>
        </w:rPr>
        <w:t xml:space="preserve"> treated with APAP.</w:t>
      </w:r>
      <w:r>
        <w:rPr>
          <w:rFonts w:cs="Arial"/>
          <w:kern w:val="0"/>
          <w14:ligatures w14:val="none"/>
        </w:rPr>
        <w:t xml:space="preserve"> </w:t>
      </w:r>
      <w:r w:rsidRPr="00B049CD">
        <w:rPr>
          <w:rFonts w:cs="Arial"/>
          <w:kern w:val="0"/>
          <w14:ligatures w14:val="none"/>
        </w:rPr>
        <w:t xml:space="preserve">APAP-treated male mice exhibited significantly higher circulating levels of ALT and mortality compared to their female counterpart. Male and female mice sera collected each month since start of treatment was evaluated for ALT activity to query circulating levels of the liver injury </w:t>
      </w:r>
      <w:r>
        <w:rPr>
          <w:rFonts w:cs="Arial"/>
          <w:kern w:val="0"/>
          <w14:ligatures w14:val="none"/>
        </w:rPr>
        <w:t>bio</w:t>
      </w:r>
      <w:r w:rsidRPr="00B049CD">
        <w:rPr>
          <w:rFonts w:cs="Arial"/>
          <w:kern w:val="0"/>
          <w14:ligatures w14:val="none"/>
        </w:rPr>
        <w:t>marker</w:t>
      </w:r>
      <w:r>
        <w:rPr>
          <w:rFonts w:cs="Arial"/>
          <w:kern w:val="0"/>
          <w14:ligatures w14:val="none"/>
        </w:rPr>
        <w:t xml:space="preserve"> </w:t>
      </w:r>
      <w:r w:rsidRPr="001E46B4">
        <w:rPr>
          <w:rFonts w:cs="Arial"/>
          <w:kern w:val="0"/>
          <w14:ligatures w14:val="none"/>
        </w:rPr>
        <w:t>(</w:t>
      </w:r>
      <w:r w:rsidRPr="00DA3ADC">
        <w:rPr>
          <w:rFonts w:cs="Arial"/>
          <w:i/>
          <w:iCs/>
          <w:kern w:val="0"/>
          <w14:ligatures w14:val="none"/>
        </w:rPr>
        <w:t>n</w:t>
      </w:r>
      <w:r w:rsidRPr="001E46B4">
        <w:rPr>
          <w:rFonts w:cs="Arial"/>
          <w:kern w:val="0"/>
          <w14:ligatures w14:val="none"/>
        </w:rPr>
        <w:t xml:space="preserve"> = 8 and 6,</w:t>
      </w:r>
      <w:r>
        <w:rPr>
          <w:rFonts w:cs="Arial"/>
          <w:kern w:val="0"/>
          <w14:ligatures w14:val="none"/>
        </w:rPr>
        <w:t xml:space="preserve"> for PBS and APAP,</w:t>
      </w:r>
      <w:r w:rsidRPr="001E46B4">
        <w:rPr>
          <w:rFonts w:cs="Arial"/>
          <w:kern w:val="0"/>
          <w14:ligatures w14:val="none"/>
        </w:rPr>
        <w:t xml:space="preserve"> respectively)</w:t>
      </w:r>
      <w:r>
        <w:rPr>
          <w:rFonts w:cs="Arial"/>
          <w:kern w:val="0"/>
          <w14:ligatures w14:val="none"/>
        </w:rPr>
        <w:t>. A</w:t>
      </w:r>
      <w:r w:rsidRPr="00B049CD">
        <w:rPr>
          <w:rFonts w:cs="Arial"/>
          <w:kern w:val="0"/>
          <w14:ligatures w14:val="none"/>
        </w:rPr>
        <w:t xml:space="preserve"> graph of results is shown alongside a table outlining the </w:t>
      </w:r>
      <w:r>
        <w:rPr>
          <w:rFonts w:cs="Arial"/>
          <w:kern w:val="0"/>
          <w14:ligatures w14:val="none"/>
        </w:rPr>
        <w:t xml:space="preserve">2-way repeated measures </w:t>
      </w:r>
      <w:r w:rsidRPr="00B049CD">
        <w:rPr>
          <w:rFonts w:cs="Arial"/>
          <w:kern w:val="0"/>
          <w14:ligatures w14:val="none"/>
        </w:rPr>
        <w:t>mixed effects model analysis</w:t>
      </w:r>
      <w:r>
        <w:rPr>
          <w:rFonts w:cs="Arial"/>
          <w:kern w:val="0"/>
          <w14:ligatures w14:val="none"/>
        </w:rPr>
        <w:t>, which are further detailed as Supplementary Table S2 online</w:t>
      </w:r>
      <w:r w:rsidRPr="00B049CD">
        <w:rPr>
          <w:rFonts w:cs="Arial"/>
          <w:kern w:val="0"/>
          <w14:ligatures w14:val="none"/>
        </w:rPr>
        <w:t xml:space="preserve"> </w:t>
      </w:r>
      <w:r w:rsidRPr="00FE722B">
        <w:rPr>
          <w:rFonts w:cs="Arial"/>
          <w:b/>
          <w:kern w:val="0"/>
          <w14:ligatures w14:val="none"/>
        </w:rPr>
        <w:t>(A)</w:t>
      </w:r>
      <w:r w:rsidRPr="00B049CD">
        <w:rPr>
          <w:rFonts w:cs="Arial"/>
          <w:kern w:val="0"/>
          <w14:ligatures w14:val="none"/>
        </w:rPr>
        <w:t xml:space="preserve">. Survival curve analysis of experimental male and female subjects </w:t>
      </w:r>
      <w:r w:rsidRPr="00FE722B">
        <w:rPr>
          <w:rFonts w:cs="Arial"/>
          <w:b/>
          <w:kern w:val="0"/>
          <w14:ligatures w14:val="none"/>
        </w:rPr>
        <w:t>(B)</w:t>
      </w:r>
      <w:r w:rsidRPr="00B049CD">
        <w:rPr>
          <w:rFonts w:cs="Arial"/>
          <w:kern w:val="0"/>
          <w14:ligatures w14:val="none"/>
        </w:rPr>
        <w:t>.</w:t>
      </w:r>
    </w:p>
    <w:p w:rsidR="006213D5" w:rsidRDefault="006213D5" w:rsidP="006213D5">
      <w:pPr>
        <w:spacing w:line="480" w:lineRule="auto"/>
        <w:contextualSpacing/>
        <w:jc w:val="both"/>
        <w:rPr>
          <w:rFonts w:cs="Arial"/>
          <w:kern w:val="0"/>
          <w14:ligatures w14:val="none"/>
        </w:rPr>
      </w:pPr>
    </w:p>
    <w:p w:rsidR="006213D5" w:rsidRDefault="006213D5" w:rsidP="006213D5">
      <w:pPr>
        <w:spacing w:line="480" w:lineRule="auto"/>
        <w:contextualSpacing/>
        <w:jc w:val="both"/>
        <w:rPr>
          <w:rFonts w:cs="Arial"/>
          <w:kern w:val="0"/>
          <w14:ligatures w14:val="none"/>
        </w:rPr>
      </w:pPr>
      <w:r w:rsidRPr="0045303B">
        <w:rPr>
          <w:rFonts w:cs="Arial"/>
          <w:b/>
          <w:bCs/>
          <w:kern w:val="0"/>
          <w:u w:val="single"/>
          <w14:ligatures w14:val="none"/>
        </w:rPr>
        <w:t>Supplementary Figure S2</w:t>
      </w:r>
      <w:r w:rsidRPr="0045303B">
        <w:rPr>
          <w:rFonts w:cs="Arial"/>
          <w:kern w:val="0"/>
          <w:u w:val="single"/>
          <w14:ligatures w14:val="none"/>
        </w:rPr>
        <w:t>.</w:t>
      </w:r>
      <w:r w:rsidRPr="00CB209E">
        <w:rPr>
          <w:rFonts w:cs="Arial"/>
          <w:kern w:val="0"/>
          <w14:ligatures w14:val="none"/>
        </w:rPr>
        <w:t xml:space="preserve"> </w:t>
      </w:r>
      <w:r w:rsidRPr="0045303B">
        <w:rPr>
          <w:rFonts w:cs="Arial"/>
          <w:b/>
          <w:bCs/>
          <w:kern w:val="0"/>
          <w14:ligatures w14:val="none"/>
        </w:rPr>
        <w:t>Repetitive APAP treatment induces long-term increase in the microglia-specific marker TMEM119</w:t>
      </w:r>
      <w:r w:rsidRPr="00CB209E">
        <w:rPr>
          <w:rFonts w:cs="Arial"/>
          <w:kern w:val="0"/>
          <w14:ligatures w14:val="none"/>
        </w:rPr>
        <w:t xml:space="preserve">. Elderly female mice displayed elevated microglial burden at one month since the final </w:t>
      </w:r>
      <w:r>
        <w:rPr>
          <w:rFonts w:cs="Arial"/>
          <w:kern w:val="0"/>
          <w14:ligatures w14:val="none"/>
        </w:rPr>
        <w:t>episode of</w:t>
      </w:r>
      <w:r w:rsidRPr="00CB209E">
        <w:rPr>
          <w:rFonts w:cs="Arial"/>
          <w:kern w:val="0"/>
          <w14:ligatures w14:val="none"/>
        </w:rPr>
        <w:t xml:space="preserve"> APAP intoxication. Female mice were subjected to monthly intraperitoneal injection with saline vehicle (PBS) or APAP starting at 90 days of age until 420-days-old (</w:t>
      </w:r>
      <w:r w:rsidRPr="0045303B">
        <w:rPr>
          <w:rFonts w:cs="Arial"/>
          <w:i/>
          <w:iCs/>
          <w:kern w:val="0"/>
          <w14:ligatures w14:val="none"/>
        </w:rPr>
        <w:t>n</w:t>
      </w:r>
      <w:r w:rsidRPr="00CB209E">
        <w:rPr>
          <w:rFonts w:cs="Arial"/>
          <w:kern w:val="0"/>
          <w14:ligatures w14:val="none"/>
        </w:rPr>
        <w:t xml:space="preserve"> = 8 and 6, respectively). At 450 days of age, mice brains</w:t>
      </w:r>
      <w:r>
        <w:rPr>
          <w:rFonts w:cs="Arial"/>
          <w:kern w:val="0"/>
          <w14:ligatures w14:val="none"/>
        </w:rPr>
        <w:t>’</w:t>
      </w:r>
      <w:r w:rsidRPr="00CB209E">
        <w:rPr>
          <w:rFonts w:cs="Arial"/>
          <w:kern w:val="0"/>
          <w14:ligatures w14:val="none"/>
        </w:rPr>
        <w:t xml:space="preserve"> were isolated and submitted to immunofluorescence (IF) analysis</w:t>
      </w:r>
      <w:r>
        <w:rPr>
          <w:rFonts w:cs="Arial"/>
          <w:kern w:val="0"/>
          <w14:ligatures w14:val="none"/>
        </w:rPr>
        <w:t xml:space="preserve"> for the TMEM119 protein</w:t>
      </w:r>
      <w:r w:rsidRPr="00CB209E">
        <w:rPr>
          <w:rFonts w:cs="Arial"/>
          <w:kern w:val="0"/>
          <w14:ligatures w14:val="none"/>
        </w:rPr>
        <w:t>. Representative images of IF staining of frozen brain sections from PBS- and APAP-treated female mice for</w:t>
      </w:r>
      <w:r>
        <w:rPr>
          <w:rFonts w:cs="Arial"/>
          <w:kern w:val="0"/>
          <w14:ligatures w14:val="none"/>
        </w:rPr>
        <w:t xml:space="preserve"> TMEM119, a</w:t>
      </w:r>
      <w:r w:rsidRPr="00CB209E">
        <w:rPr>
          <w:rFonts w:cs="Arial"/>
          <w:kern w:val="0"/>
          <w14:ligatures w14:val="none"/>
        </w:rPr>
        <w:t xml:space="preserve"> microglia-specific marker</w:t>
      </w:r>
      <w:r>
        <w:rPr>
          <w:rFonts w:cs="Arial"/>
          <w:kern w:val="0"/>
          <w14:ligatures w14:val="none"/>
        </w:rPr>
        <w:t>,</w:t>
      </w:r>
      <w:r w:rsidRPr="00CB209E">
        <w:rPr>
          <w:rFonts w:cs="Arial"/>
          <w:kern w:val="0"/>
          <w14:ligatures w14:val="none"/>
        </w:rPr>
        <w:t xml:space="preserve"> in the cortex (</w:t>
      </w:r>
      <w:r w:rsidRPr="0045303B">
        <w:rPr>
          <w:rFonts w:cs="Arial"/>
          <w:b/>
          <w:bCs/>
          <w:kern w:val="0"/>
          <w14:ligatures w14:val="none"/>
        </w:rPr>
        <w:t>A</w:t>
      </w:r>
      <w:r w:rsidRPr="00CB209E">
        <w:rPr>
          <w:rFonts w:cs="Arial"/>
          <w:kern w:val="0"/>
          <w14:ligatures w14:val="none"/>
        </w:rPr>
        <w:t>) and hippocampus (</w:t>
      </w:r>
      <w:r w:rsidRPr="0045303B">
        <w:rPr>
          <w:rFonts w:cs="Arial"/>
          <w:b/>
          <w:bCs/>
          <w:kern w:val="0"/>
          <w14:ligatures w14:val="none"/>
        </w:rPr>
        <w:t>C</w:t>
      </w:r>
      <w:r w:rsidRPr="00CB209E">
        <w:rPr>
          <w:rFonts w:cs="Arial"/>
          <w:kern w:val="0"/>
          <w14:ligatures w14:val="none"/>
        </w:rPr>
        <w:t>) regions. Scale bars represent 100 µm. ImageJ analysis was used to quantify cortical (B) and hippocampal (</w:t>
      </w:r>
      <w:r w:rsidRPr="0045303B">
        <w:rPr>
          <w:rFonts w:cs="Arial"/>
          <w:b/>
          <w:bCs/>
          <w:kern w:val="0"/>
          <w14:ligatures w14:val="none"/>
        </w:rPr>
        <w:t>D</w:t>
      </w:r>
      <w:r w:rsidRPr="00CB209E">
        <w:rPr>
          <w:rFonts w:cs="Arial"/>
          <w:kern w:val="0"/>
          <w14:ligatures w14:val="none"/>
        </w:rPr>
        <w:t xml:space="preserve">) levels of microglia. Student’s t-test. * </w:t>
      </w:r>
      <w:r w:rsidRPr="0045303B">
        <w:rPr>
          <w:rFonts w:cs="Arial"/>
          <w:i/>
          <w:iCs/>
          <w:kern w:val="0"/>
          <w14:ligatures w14:val="none"/>
        </w:rPr>
        <w:t>p</w:t>
      </w:r>
      <w:r w:rsidRPr="00CB209E">
        <w:rPr>
          <w:rFonts w:cs="Arial"/>
          <w:kern w:val="0"/>
          <w14:ligatures w14:val="none"/>
        </w:rPr>
        <w:t xml:space="preserve"> &lt; 0.05</w:t>
      </w:r>
      <w:r>
        <w:rPr>
          <w:rFonts w:cs="Arial"/>
          <w:kern w:val="0"/>
          <w14:ligatures w14:val="none"/>
        </w:rPr>
        <w:t>.</w:t>
      </w:r>
    </w:p>
    <w:p w:rsidR="006213D5" w:rsidRDefault="006213D5" w:rsidP="006213D5">
      <w:pPr>
        <w:spacing w:line="480" w:lineRule="auto"/>
        <w:contextualSpacing/>
        <w:jc w:val="both"/>
        <w:rPr>
          <w:rFonts w:cs="Arial"/>
          <w:kern w:val="0"/>
          <w14:ligatures w14:val="none"/>
        </w:rPr>
      </w:pPr>
    </w:p>
    <w:p w:rsidR="006213D5" w:rsidRDefault="006213D5" w:rsidP="006213D5">
      <w:pPr>
        <w:spacing w:line="480" w:lineRule="auto"/>
        <w:contextualSpacing/>
        <w:jc w:val="both"/>
        <w:rPr>
          <w:rFonts w:cs="Arial"/>
          <w:kern w:val="0"/>
          <w14:ligatures w14:val="none"/>
        </w:rPr>
      </w:pPr>
      <w:r w:rsidRPr="00CB3FA2">
        <w:rPr>
          <w:rFonts w:cs="Arial"/>
          <w:b/>
          <w:bCs/>
          <w:kern w:val="0"/>
          <w:u w:val="single"/>
          <w14:ligatures w14:val="none"/>
        </w:rPr>
        <w:t xml:space="preserve">Supplementary Table </w:t>
      </w:r>
      <w:r>
        <w:rPr>
          <w:rFonts w:cs="Arial"/>
          <w:b/>
          <w:bCs/>
          <w:kern w:val="0"/>
          <w:u w:val="single"/>
          <w14:ligatures w14:val="none"/>
        </w:rPr>
        <w:t>S</w:t>
      </w:r>
      <w:r w:rsidRPr="00CB3FA2">
        <w:rPr>
          <w:rFonts w:cs="Arial"/>
          <w:b/>
          <w:bCs/>
          <w:kern w:val="0"/>
          <w:u w:val="single"/>
          <w14:ligatures w14:val="none"/>
        </w:rPr>
        <w:t>1</w:t>
      </w:r>
      <w:r w:rsidRPr="0045303B">
        <w:rPr>
          <w:rFonts w:cs="Arial"/>
          <w:b/>
          <w:bCs/>
          <w:kern w:val="0"/>
          <w:u w:val="single"/>
          <w14:ligatures w14:val="none"/>
        </w:rPr>
        <w:t>.</w:t>
      </w:r>
      <w:r w:rsidRPr="00CB3FA2">
        <w:rPr>
          <w:rFonts w:cs="Arial"/>
          <w:b/>
          <w:bCs/>
          <w:kern w:val="0"/>
          <w14:ligatures w14:val="none"/>
        </w:rPr>
        <w:t xml:space="preserve"> </w:t>
      </w:r>
      <w:r>
        <w:rPr>
          <w:rFonts w:cs="Arial"/>
          <w:b/>
          <w:bCs/>
          <w:kern w:val="0"/>
          <w14:ligatures w14:val="none"/>
        </w:rPr>
        <w:t xml:space="preserve">Details of 2-way repeated measures ANOVA followed by </w:t>
      </w:r>
      <w:r w:rsidRPr="00CB3FA2">
        <w:rPr>
          <w:rFonts w:cs="Arial"/>
          <w:b/>
          <w:bCs/>
          <w:kern w:val="0"/>
          <w14:ligatures w14:val="none"/>
        </w:rPr>
        <w:t xml:space="preserve">Tukey’s post hoc </w:t>
      </w:r>
      <w:r>
        <w:rPr>
          <w:rFonts w:cs="Arial"/>
          <w:b/>
          <w:bCs/>
          <w:kern w:val="0"/>
          <w14:ligatures w14:val="none"/>
        </w:rPr>
        <w:t xml:space="preserve">test for </w:t>
      </w:r>
      <w:r w:rsidRPr="00CB3FA2">
        <w:rPr>
          <w:rFonts w:cs="Arial"/>
          <w:b/>
          <w:bCs/>
          <w:kern w:val="0"/>
          <w14:ligatures w14:val="none"/>
        </w:rPr>
        <w:t xml:space="preserve">comparison </w:t>
      </w:r>
      <w:r>
        <w:rPr>
          <w:rFonts w:cs="Arial"/>
          <w:b/>
          <w:bCs/>
          <w:kern w:val="0"/>
          <w14:ligatures w14:val="none"/>
        </w:rPr>
        <w:t>of</w:t>
      </w:r>
      <w:r w:rsidRPr="00CB3FA2">
        <w:rPr>
          <w:rFonts w:cs="Arial"/>
          <w:b/>
          <w:bCs/>
          <w:kern w:val="0"/>
          <w14:ligatures w14:val="none"/>
        </w:rPr>
        <w:t xml:space="preserve"> serum ALT activity </w:t>
      </w:r>
      <w:r>
        <w:rPr>
          <w:rFonts w:cs="Arial"/>
          <w:b/>
          <w:bCs/>
          <w:kern w:val="0"/>
          <w14:ligatures w14:val="none"/>
        </w:rPr>
        <w:t xml:space="preserve">between APAP- and PBS-treated </w:t>
      </w:r>
      <w:r w:rsidRPr="00CB3FA2">
        <w:rPr>
          <w:rFonts w:cs="Arial"/>
          <w:b/>
          <w:bCs/>
          <w:kern w:val="0"/>
          <w14:ligatures w14:val="none"/>
        </w:rPr>
        <w:t>female</w:t>
      </w:r>
      <w:r>
        <w:rPr>
          <w:rFonts w:cs="Arial"/>
          <w:b/>
          <w:bCs/>
          <w:kern w:val="0"/>
          <w14:ligatures w14:val="none"/>
        </w:rPr>
        <w:t>s</w:t>
      </w:r>
      <w:r w:rsidRPr="00CB3FA2">
        <w:rPr>
          <w:rFonts w:cs="Arial"/>
          <w:b/>
          <w:bCs/>
          <w:kern w:val="0"/>
          <w14:ligatures w14:val="none"/>
        </w:rPr>
        <w:t>.</w:t>
      </w:r>
    </w:p>
    <w:p w:rsidR="006213D5" w:rsidRDefault="006213D5" w:rsidP="006213D5">
      <w:pPr>
        <w:spacing w:line="480" w:lineRule="auto"/>
        <w:contextualSpacing/>
        <w:jc w:val="both"/>
        <w:rPr>
          <w:rFonts w:cs="Arial"/>
          <w:kern w:val="0"/>
          <w14:ligatures w14:val="none"/>
        </w:rPr>
      </w:pPr>
    </w:p>
    <w:p w:rsidR="006213D5" w:rsidRPr="006213D5" w:rsidRDefault="006213D5" w:rsidP="006213D5">
      <w:pPr>
        <w:spacing w:line="480" w:lineRule="auto"/>
        <w:contextualSpacing/>
        <w:jc w:val="both"/>
        <w:rPr>
          <w:rFonts w:cs="Arial"/>
          <w:kern w:val="0"/>
          <w14:ligatures w14:val="none"/>
        </w:rPr>
      </w:pPr>
      <w:r w:rsidRPr="00CB3FA2">
        <w:rPr>
          <w:rFonts w:cs="Arial"/>
          <w:b/>
          <w:bCs/>
          <w:kern w:val="0"/>
          <w:u w:val="single"/>
          <w14:ligatures w14:val="none"/>
        </w:rPr>
        <w:t xml:space="preserve">Supplementary Table </w:t>
      </w:r>
      <w:r>
        <w:rPr>
          <w:rFonts w:cs="Arial"/>
          <w:b/>
          <w:bCs/>
          <w:kern w:val="0"/>
          <w:u w:val="single"/>
          <w14:ligatures w14:val="none"/>
        </w:rPr>
        <w:t>S</w:t>
      </w:r>
      <w:r w:rsidRPr="00CB3FA2">
        <w:rPr>
          <w:rFonts w:cs="Arial"/>
          <w:b/>
          <w:bCs/>
          <w:kern w:val="0"/>
          <w:u w:val="single"/>
          <w14:ligatures w14:val="none"/>
        </w:rPr>
        <w:t>2.</w:t>
      </w:r>
      <w:r w:rsidRPr="00A31795">
        <w:rPr>
          <w:rFonts w:cs="Arial"/>
          <w:b/>
          <w:bCs/>
          <w:kern w:val="0"/>
          <w14:ligatures w14:val="none"/>
        </w:rPr>
        <w:t xml:space="preserve"> </w:t>
      </w:r>
      <w:r>
        <w:rPr>
          <w:rFonts w:cs="Arial"/>
          <w:b/>
          <w:bCs/>
          <w:kern w:val="0"/>
          <w14:ligatures w14:val="none"/>
        </w:rPr>
        <w:t>Details of 2-way repeated measures mixed effects model analysis followed by Tukey’s post hoc test for comparison of</w:t>
      </w:r>
      <w:r w:rsidRPr="00A31795">
        <w:rPr>
          <w:rFonts w:cs="Arial"/>
          <w:b/>
          <w:bCs/>
          <w:kern w:val="0"/>
          <w14:ligatures w14:val="none"/>
        </w:rPr>
        <w:t xml:space="preserve"> serum ALT activity </w:t>
      </w:r>
      <w:r>
        <w:rPr>
          <w:rFonts w:cs="Arial"/>
          <w:b/>
          <w:bCs/>
          <w:kern w:val="0"/>
          <w14:ligatures w14:val="none"/>
        </w:rPr>
        <w:t>between all male and</w:t>
      </w:r>
      <w:r w:rsidRPr="00A31795">
        <w:rPr>
          <w:rFonts w:cs="Arial"/>
          <w:b/>
          <w:bCs/>
          <w:kern w:val="0"/>
          <w14:ligatures w14:val="none"/>
        </w:rPr>
        <w:t xml:space="preserve"> female</w:t>
      </w:r>
      <w:r>
        <w:rPr>
          <w:rFonts w:cs="Arial"/>
          <w:b/>
          <w:bCs/>
          <w:kern w:val="0"/>
          <w14:ligatures w14:val="none"/>
        </w:rPr>
        <w:t xml:space="preserve"> groups.</w:t>
      </w:r>
      <w:bookmarkEnd w:id="0"/>
    </w:p>
    <w:sectPr w:rsidR="006213D5" w:rsidRPr="006213D5" w:rsidSect="000835AF">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835AF">
      <w:pPr>
        <w:spacing w:after="0" w:line="240" w:lineRule="auto"/>
      </w:pPr>
      <w:r>
        <w:separator/>
      </w:r>
    </w:p>
  </w:endnote>
  <w:endnote w:type="continuationSeparator" w:id="0">
    <w:p w:rsidR="00000000" w:rsidRDefault="00083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646584"/>
      <w:docPartObj>
        <w:docPartGallery w:val="Page Numbers (Bottom of Page)"/>
        <w:docPartUnique/>
      </w:docPartObj>
    </w:sdtPr>
    <w:sdtEndPr>
      <w:rPr>
        <w:noProof/>
      </w:rPr>
    </w:sdtEndPr>
    <w:sdtContent>
      <w:p w:rsidR="0009193F" w:rsidRDefault="006213D5">
        <w:pPr>
          <w:pStyle w:val="Footer"/>
          <w:jc w:val="center"/>
        </w:pPr>
        <w:r>
          <w:fldChar w:fldCharType="begin"/>
        </w:r>
        <w:r>
          <w:instrText xml:space="preserve"> PAGE   \* MERGEFORMAT </w:instrText>
        </w:r>
        <w:r>
          <w:fldChar w:fldCharType="separate"/>
        </w:r>
        <w:r w:rsidR="000835AF">
          <w:rPr>
            <w:noProof/>
          </w:rPr>
          <w:t>1</w:t>
        </w:r>
        <w:r>
          <w:rPr>
            <w:noProof/>
          </w:rPr>
          <w:fldChar w:fldCharType="end"/>
        </w:r>
      </w:p>
    </w:sdtContent>
  </w:sdt>
  <w:p w:rsidR="0009193F" w:rsidRDefault="00083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835AF">
      <w:pPr>
        <w:spacing w:after="0" w:line="240" w:lineRule="auto"/>
      </w:pPr>
      <w:r>
        <w:separator/>
      </w:r>
    </w:p>
  </w:footnote>
  <w:footnote w:type="continuationSeparator" w:id="0">
    <w:p w:rsidR="00000000" w:rsidRDefault="00083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3D5"/>
    <w:rsid w:val="000835AF"/>
    <w:rsid w:val="00621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D3E690-4150-4A5F-903C-966498BE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3D5"/>
    <w:rPr>
      <w:rFonts w:ascii="Arial" w:hAnsi="Arial"/>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1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3D5"/>
    <w:rPr>
      <w:rFonts w:ascii="Arial" w:hAnsi="Arial"/>
      <w:kern w:val="2"/>
      <w14:ligatures w14:val="standardContextual"/>
    </w:rPr>
  </w:style>
  <w:style w:type="character" w:styleId="LineNumber">
    <w:name w:val="line number"/>
    <w:basedOn w:val="DefaultParagraphFont"/>
    <w:uiPriority w:val="99"/>
    <w:semiHidden/>
    <w:unhideWhenUsed/>
    <w:rsid w:val="00621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Morales, Rodrigo</dc:creator>
  <cp:keywords/>
  <dc:description/>
  <cp:lastModifiedBy>Vanitha M Murga Boopathy G</cp:lastModifiedBy>
  <cp:revision>2</cp:revision>
  <dcterms:created xsi:type="dcterms:W3CDTF">2024-06-14T21:32:00Z</dcterms:created>
  <dcterms:modified xsi:type="dcterms:W3CDTF">2024-06-18T17:43:00Z</dcterms:modified>
</cp:coreProperties>
</file>