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14C1F" w14:textId="11143013" w:rsidR="0076200A" w:rsidRPr="0076200A" w:rsidRDefault="0076200A" w:rsidP="0076200A">
      <w:pPr>
        <w:spacing w:line="360" w:lineRule="auto"/>
        <w:jc w:val="left"/>
        <w:rPr>
          <w:rFonts w:ascii="Times New Roman" w:hAnsi="Times New Roman"/>
          <w:b/>
          <w:bCs/>
          <w:sz w:val="32"/>
          <w:szCs w:val="32"/>
          <w:lang w:val="de-DE"/>
        </w:rPr>
      </w:pPr>
      <w:bookmarkStart w:id="0" w:name="_Hlk162531511"/>
      <w:r w:rsidRPr="0076200A">
        <w:rPr>
          <w:rFonts w:ascii="Times New Roman" w:hAnsi="Times New Roman"/>
          <w:b/>
          <w:bCs/>
          <w:sz w:val="32"/>
          <w:szCs w:val="32"/>
          <w:lang w:val="de-DE"/>
        </w:rPr>
        <w:t>S</w:t>
      </w:r>
      <w:r w:rsidRPr="0076200A">
        <w:rPr>
          <w:rFonts w:ascii="Times New Roman" w:hAnsi="Times New Roman" w:hint="eastAsia"/>
          <w:b/>
          <w:bCs/>
          <w:sz w:val="32"/>
          <w:szCs w:val="32"/>
          <w:lang w:val="de-DE"/>
        </w:rPr>
        <w:t>u</w:t>
      </w:r>
      <w:r w:rsidRPr="0076200A">
        <w:rPr>
          <w:rFonts w:ascii="Times New Roman" w:hAnsi="Times New Roman"/>
          <w:b/>
          <w:bCs/>
          <w:sz w:val="32"/>
          <w:szCs w:val="32"/>
          <w:lang w:val="de-DE"/>
        </w:rPr>
        <w:t xml:space="preserve">pplementary </w:t>
      </w:r>
      <w:bookmarkEnd w:id="0"/>
      <w:r w:rsidRPr="0076200A">
        <w:rPr>
          <w:rFonts w:ascii="Times New Roman" w:hAnsi="Times New Roman"/>
          <w:b/>
          <w:bCs/>
          <w:sz w:val="32"/>
          <w:szCs w:val="32"/>
          <w:lang w:val="de-DE"/>
        </w:rPr>
        <w:t>Information</w:t>
      </w:r>
    </w:p>
    <w:p w14:paraId="4E84F3B0" w14:textId="77777777" w:rsidR="0076200A" w:rsidRPr="0076200A" w:rsidRDefault="0076200A" w:rsidP="0076200A">
      <w:pPr>
        <w:spacing w:line="360" w:lineRule="auto"/>
        <w:jc w:val="left"/>
        <w:rPr>
          <w:rFonts w:ascii="Times New Roman" w:hAnsi="Times New Roman"/>
          <w:b/>
          <w:bCs/>
          <w:sz w:val="32"/>
          <w:szCs w:val="32"/>
          <w:lang w:val="de-DE"/>
        </w:rPr>
      </w:pPr>
    </w:p>
    <w:p w14:paraId="0A3EED91" w14:textId="77777777" w:rsidR="00E64B96" w:rsidRPr="00E44DB6" w:rsidRDefault="00E64B96" w:rsidP="00E64B96">
      <w:pPr>
        <w:jc w:val="center"/>
        <w:rPr>
          <w:rFonts w:ascii="Times New Roman" w:hAnsi="Times New Roman"/>
          <w:sz w:val="24"/>
          <w:szCs w:val="24"/>
        </w:rPr>
      </w:pPr>
      <w:r w:rsidRPr="00D45EB8">
        <w:rPr>
          <w:rFonts w:ascii="Times New Roman" w:hAnsi="Times New Roman"/>
          <w:b/>
          <w:sz w:val="28"/>
          <w:szCs w:val="24"/>
        </w:rPr>
        <w:t>Enhancing Hepatoprotective Action: Oxyberberine Amorphous Solid Dispersion System Targeting TLR4</w:t>
      </w:r>
    </w:p>
    <w:p w14:paraId="2B2C8774" w14:textId="77777777" w:rsidR="00E64B96" w:rsidRDefault="00E64B96" w:rsidP="00E64B96">
      <w:pPr>
        <w:rPr>
          <w:rFonts w:ascii="Times New Roman" w:hAnsi="Times New Roman"/>
          <w:sz w:val="24"/>
          <w:szCs w:val="24"/>
        </w:rPr>
      </w:pPr>
    </w:p>
    <w:p w14:paraId="66553452" w14:textId="77777777" w:rsidR="00E64B96" w:rsidRDefault="00E64B96" w:rsidP="00E64B96">
      <w:pPr>
        <w:rPr>
          <w:rFonts w:ascii="Times New Roman" w:hAnsi="Times New Roman"/>
          <w:sz w:val="24"/>
          <w:szCs w:val="24"/>
        </w:rPr>
      </w:pPr>
      <w:bookmarkStart w:id="1" w:name="_Hlk122948777"/>
      <w:proofErr w:type="spellStart"/>
      <w:r>
        <w:rPr>
          <w:rFonts w:ascii="Times New Roman" w:hAnsi="Times New Roman"/>
          <w:sz w:val="24"/>
          <w:szCs w:val="24"/>
        </w:rPr>
        <w:t>Tingting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Chen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5B01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  <w:vertAlign w:val="superscript"/>
        </w:rPr>
        <w:t>,g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,1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Qingguo</w:t>
      </w:r>
      <w:proofErr w:type="spellEnd"/>
      <w:r>
        <w:rPr>
          <w:rFonts w:ascii="Times New Roman" w:hAnsi="Times New Roman"/>
          <w:sz w:val="24"/>
          <w:szCs w:val="24"/>
        </w:rPr>
        <w:t xml:space="preserve"> Li</w:t>
      </w:r>
      <w:r w:rsidRPr="00581C9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55B01"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Gaoxiang</w:t>
      </w:r>
      <w:proofErr w:type="spellEnd"/>
      <w:r>
        <w:rPr>
          <w:rFonts w:ascii="Times New Roman" w:hAnsi="Times New Roman"/>
          <w:sz w:val="24"/>
          <w:szCs w:val="24"/>
        </w:rPr>
        <w:t xml:space="preserve"> Ai </w:t>
      </w:r>
      <w:r w:rsidRPr="00A55B01"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,</w:t>
      </w:r>
      <w:r w:rsidRPr="00A55B0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Ziwei</w:t>
      </w:r>
      <w:proofErr w:type="spellEnd"/>
      <w:r>
        <w:rPr>
          <w:rFonts w:ascii="Times New Roman" w:hAnsi="Times New Roman"/>
          <w:sz w:val="24"/>
          <w:szCs w:val="24"/>
        </w:rPr>
        <w:t xml:space="preserve"> Huang </w:t>
      </w:r>
      <w:r w:rsidRPr="00A55B01"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Jun</w:t>
      </w:r>
      <w:r>
        <w:rPr>
          <w:rFonts w:ascii="Times New Roman" w:hAnsi="Times New Roman"/>
          <w:sz w:val="24"/>
          <w:szCs w:val="24"/>
        </w:rPr>
        <w:t xml:space="preserve"> Liu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e,f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Lingfeng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eng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c,d,f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Ziren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55B01"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Yaoxing</w:t>
      </w:r>
      <w:r>
        <w:rPr>
          <w:rFonts w:ascii="Times New Roman" w:hAnsi="Times New Roman"/>
          <w:sz w:val="24"/>
          <w:szCs w:val="24"/>
        </w:rPr>
        <w:t xml:space="preserve"> Dou </w:t>
      </w:r>
      <w:proofErr w:type="spellStart"/>
      <w:r w:rsidRPr="00E4586F">
        <w:rPr>
          <w:rFonts w:ascii="Times New Roman" w:hAnsi="Times New Roman"/>
          <w:sz w:val="24"/>
          <w:szCs w:val="24"/>
          <w:vertAlign w:val="superscript"/>
        </w:rPr>
        <w:t>a,</w:t>
      </w:r>
      <w:r w:rsidRPr="00A55B01">
        <w:rPr>
          <w:rFonts w:ascii="Times New Roman" w:hAnsi="Times New Roman"/>
          <w:sz w:val="24"/>
          <w:szCs w:val="24"/>
          <w:vertAlign w:val="superscript"/>
        </w:rPr>
        <w:t>c,</w:t>
      </w:r>
      <w:r>
        <w:rPr>
          <w:rFonts w:ascii="Times New Roman" w:hAnsi="Times New Roman"/>
          <w:sz w:val="24"/>
          <w:szCs w:val="24"/>
          <w:vertAlign w:val="superscript"/>
        </w:rPr>
        <w:t>d</w:t>
      </w:r>
      <w:r w:rsidRPr="00A55B01"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>f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,</w:t>
      </w:r>
      <w:r w:rsidRPr="00A55B01">
        <w:rPr>
          <w:rFonts w:ascii="Times New Roman" w:hAnsi="Times New Roman"/>
          <w:sz w:val="24"/>
          <w:szCs w:val="24"/>
          <w:vertAlign w:val="superscript"/>
        </w:rPr>
        <w:t>*</w:t>
      </w:r>
    </w:p>
    <w:bookmarkEnd w:id="1"/>
    <w:p w14:paraId="6DC51D0E" w14:textId="77777777" w:rsidR="00E64B96" w:rsidRPr="003C7C61" w:rsidRDefault="00E64B96" w:rsidP="00E64B96">
      <w:pPr>
        <w:rPr>
          <w:rFonts w:ascii="Times New Roman" w:hAnsi="Times New Roman"/>
          <w:sz w:val="24"/>
          <w:szCs w:val="24"/>
        </w:rPr>
      </w:pPr>
    </w:p>
    <w:p w14:paraId="3DF8982C" w14:textId="77777777" w:rsidR="00E64B96" w:rsidRPr="00E57AB6" w:rsidRDefault="00E64B96" w:rsidP="00E64B96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E57AB6">
        <w:rPr>
          <w:rFonts w:ascii="Times New Roman" w:hAnsi="Times New Roman"/>
          <w:i/>
          <w:sz w:val="24"/>
          <w:szCs w:val="24"/>
          <w:vertAlign w:val="superscript"/>
        </w:rPr>
        <w:t>a</w:t>
      </w:r>
      <w:proofErr w:type="spellEnd"/>
      <w:r w:rsidRPr="00E57AB6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The </w:t>
      </w:r>
      <w:r w:rsidRPr="005E7E8F">
        <w:rPr>
          <w:rFonts w:ascii="Times New Roman" w:hAnsi="Times New Roman"/>
          <w:i/>
          <w:sz w:val="24"/>
          <w:szCs w:val="24"/>
        </w:rPr>
        <w:t>Meizhou Hospital</w:t>
      </w:r>
      <w:r>
        <w:rPr>
          <w:rFonts w:ascii="Times New Roman" w:hAnsi="Times New Roman"/>
          <w:i/>
          <w:sz w:val="24"/>
          <w:szCs w:val="24"/>
        </w:rPr>
        <w:t xml:space="preserve"> of </w:t>
      </w:r>
      <w:r w:rsidRPr="00A01457">
        <w:rPr>
          <w:rFonts w:ascii="Times New Roman" w:hAnsi="Times New Roman"/>
          <w:i/>
          <w:sz w:val="24"/>
          <w:szCs w:val="24"/>
        </w:rPr>
        <w:t>Guangzhou University of Chinese Medicine</w:t>
      </w:r>
      <w:r>
        <w:rPr>
          <w:rFonts w:ascii="Times New Roman" w:hAnsi="Times New Roman"/>
          <w:i/>
          <w:sz w:val="24"/>
          <w:szCs w:val="24"/>
        </w:rPr>
        <w:t xml:space="preserve"> (</w:t>
      </w:r>
      <w:r w:rsidRPr="005E7E8F">
        <w:rPr>
          <w:rFonts w:ascii="Times New Roman" w:hAnsi="Times New Roman"/>
          <w:i/>
          <w:sz w:val="24"/>
          <w:szCs w:val="24"/>
        </w:rPr>
        <w:t>Meizhou Hospital of Traditional Chinese Medicine</w:t>
      </w:r>
      <w:r>
        <w:rPr>
          <w:rFonts w:ascii="Times New Roman" w:hAnsi="Times New Roman"/>
          <w:i/>
          <w:sz w:val="24"/>
          <w:szCs w:val="24"/>
        </w:rPr>
        <w:t>)</w:t>
      </w:r>
      <w:r w:rsidRPr="005E7E8F">
        <w:rPr>
          <w:rFonts w:ascii="Times New Roman" w:hAnsi="Times New Roman"/>
          <w:i/>
          <w:sz w:val="24"/>
          <w:szCs w:val="24"/>
        </w:rPr>
        <w:t>, Meizhou</w:t>
      </w:r>
      <w:r w:rsidRPr="00E57AB6">
        <w:rPr>
          <w:rFonts w:ascii="Times New Roman" w:hAnsi="Times New Roman"/>
          <w:i/>
          <w:sz w:val="24"/>
          <w:szCs w:val="24"/>
        </w:rPr>
        <w:t>, China</w:t>
      </w:r>
    </w:p>
    <w:p w14:paraId="04F2B404" w14:textId="77777777" w:rsidR="00E64B96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b</w:t>
      </w:r>
      <w:r w:rsidRPr="00A01457">
        <w:rPr>
          <w:rFonts w:ascii="Times New Roman" w:hAnsi="Times New Roman"/>
          <w:i/>
          <w:sz w:val="24"/>
          <w:szCs w:val="24"/>
        </w:rPr>
        <w:t xml:space="preserve"> School of Pharmaceutical Sciences, Guangzhou University of Chinese Medicine, Guangzhou, China</w:t>
      </w:r>
      <w:r w:rsidRPr="00A74938">
        <w:rPr>
          <w:rFonts w:ascii="Times New Roman" w:hAnsi="Times New Roman"/>
          <w:i/>
          <w:sz w:val="24"/>
          <w:szCs w:val="24"/>
        </w:rPr>
        <w:t xml:space="preserve"> </w:t>
      </w:r>
    </w:p>
    <w:p w14:paraId="6DF0C3BC" w14:textId="77777777" w:rsidR="00E64B96" w:rsidRPr="001B0221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c</w:t>
      </w:r>
      <w:r w:rsidRPr="00A01457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A01457">
        <w:rPr>
          <w:rFonts w:ascii="Times New Roman" w:hAnsi="Times New Roman"/>
          <w:i/>
          <w:sz w:val="24"/>
          <w:szCs w:val="24"/>
        </w:rPr>
        <w:t>The Second Clinical Medical College of Guangzhou University of Chinese Medicine/Post-Doctoral Research Station, Guangzhou, China</w:t>
      </w:r>
    </w:p>
    <w:p w14:paraId="4891EBAC" w14:textId="77777777" w:rsidR="00E64B96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bookmarkStart w:id="2" w:name="OLE_LINK104"/>
      <w:r>
        <w:rPr>
          <w:rFonts w:ascii="Times New Roman" w:hAnsi="Times New Roman"/>
          <w:i/>
          <w:sz w:val="24"/>
          <w:szCs w:val="24"/>
          <w:vertAlign w:val="superscript"/>
        </w:rPr>
        <w:t>d</w:t>
      </w:r>
      <w:r w:rsidRPr="00A01457">
        <w:rPr>
          <w:rFonts w:ascii="Times New Roman" w:hAnsi="Times New Roman"/>
          <w:i/>
          <w:sz w:val="24"/>
          <w:szCs w:val="24"/>
        </w:rPr>
        <w:t xml:space="preserve"> The Second Affiliated Hospital of Guangzhou University of Chinese Medicine</w:t>
      </w:r>
      <w:r>
        <w:rPr>
          <w:rFonts w:ascii="Times New Roman" w:hAnsi="Times New Roman"/>
          <w:i/>
          <w:sz w:val="24"/>
          <w:szCs w:val="24"/>
        </w:rPr>
        <w:t xml:space="preserve"> (</w:t>
      </w:r>
      <w:r w:rsidRPr="001B0221">
        <w:rPr>
          <w:rFonts w:ascii="Times New Roman" w:hAnsi="Times New Roman"/>
          <w:i/>
          <w:sz w:val="24"/>
          <w:szCs w:val="24"/>
        </w:rPr>
        <w:t>Guangdong Provincial Hospital of Chinese Medicine</w:t>
      </w:r>
      <w:r>
        <w:rPr>
          <w:rFonts w:ascii="Times New Roman" w:hAnsi="Times New Roman"/>
          <w:i/>
          <w:sz w:val="24"/>
          <w:szCs w:val="24"/>
        </w:rPr>
        <w:t>)</w:t>
      </w:r>
      <w:r w:rsidRPr="00A01457">
        <w:rPr>
          <w:rFonts w:ascii="Times New Roman" w:hAnsi="Times New Roman"/>
          <w:i/>
          <w:sz w:val="24"/>
          <w:szCs w:val="24"/>
        </w:rPr>
        <w:t>,</w:t>
      </w:r>
      <w:bookmarkEnd w:id="2"/>
      <w:r w:rsidRPr="00A01457">
        <w:rPr>
          <w:rFonts w:ascii="Times New Roman" w:hAnsi="Times New Roman"/>
          <w:i/>
          <w:sz w:val="24"/>
          <w:szCs w:val="24"/>
        </w:rPr>
        <w:t xml:space="preserve"> Guangzhou, China</w:t>
      </w:r>
    </w:p>
    <w:p w14:paraId="210B0060" w14:textId="77777777" w:rsidR="00E64B96" w:rsidRPr="001B0221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e</w:t>
      </w:r>
      <w:r w:rsidRPr="00A01457">
        <w:rPr>
          <w:rFonts w:ascii="Times New Roman" w:hAnsi="Times New Roman"/>
          <w:i/>
          <w:sz w:val="24"/>
          <w:szCs w:val="24"/>
        </w:rPr>
        <w:t xml:space="preserve"> </w:t>
      </w:r>
      <w:r w:rsidRPr="00D57D70">
        <w:rPr>
          <w:rFonts w:ascii="Times New Roman" w:hAnsi="Times New Roman"/>
          <w:i/>
          <w:sz w:val="24"/>
          <w:szCs w:val="24"/>
        </w:rPr>
        <w:t xml:space="preserve">Guangdong Second Traditional Chinese Medicine Hospital (Guangdong Province </w:t>
      </w:r>
      <w:proofErr w:type="spellStart"/>
      <w:r w:rsidRPr="00D57D70">
        <w:rPr>
          <w:rFonts w:ascii="Times New Roman" w:hAnsi="Times New Roman"/>
          <w:i/>
          <w:sz w:val="24"/>
          <w:szCs w:val="24"/>
        </w:rPr>
        <w:t>Enginering</w:t>
      </w:r>
      <w:proofErr w:type="spellEnd"/>
      <w:r w:rsidRPr="00D57D70">
        <w:rPr>
          <w:rFonts w:ascii="Times New Roman" w:hAnsi="Times New Roman"/>
          <w:i/>
          <w:sz w:val="24"/>
          <w:szCs w:val="24"/>
        </w:rPr>
        <w:t xml:space="preserve"> Technology Research Institute of Traditional Chinese Medicine),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7D70">
        <w:rPr>
          <w:rFonts w:ascii="Times New Roman" w:hAnsi="Times New Roman"/>
          <w:i/>
          <w:sz w:val="24"/>
          <w:szCs w:val="24"/>
        </w:rPr>
        <w:t>Guangzhou,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57D70">
        <w:rPr>
          <w:rFonts w:ascii="Times New Roman" w:hAnsi="Times New Roman"/>
          <w:i/>
          <w:sz w:val="24"/>
          <w:szCs w:val="24"/>
        </w:rPr>
        <w:t>China</w:t>
      </w:r>
    </w:p>
    <w:p w14:paraId="3E1A2304" w14:textId="77777777" w:rsidR="00E64B96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f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55B01">
        <w:rPr>
          <w:rFonts w:ascii="Times New Roman" w:hAnsi="Times New Roman"/>
          <w:i/>
          <w:sz w:val="24"/>
          <w:szCs w:val="24"/>
        </w:rPr>
        <w:t>Bone and Joint Research Team of Degeneration and Injury, Guangdong Provincial Academy of Chinese Medical Sciences, Guangzhou, China</w:t>
      </w:r>
    </w:p>
    <w:p w14:paraId="0BBE1684" w14:textId="77777777" w:rsidR="00E64B96" w:rsidRDefault="00E64B96" w:rsidP="00E64B96">
      <w:pPr>
        <w:spacing w:line="300" w:lineRule="auto"/>
        <w:rPr>
          <w:rFonts w:ascii="Times New Roman" w:hAnsi="Times New Roman"/>
          <w:i/>
          <w:sz w:val="24"/>
          <w:szCs w:val="24"/>
        </w:rPr>
      </w:pPr>
      <w:r w:rsidRPr="0099694C">
        <w:rPr>
          <w:rFonts w:ascii="Times New Roman" w:hAnsi="Times New Roman" w:hint="eastAsia"/>
          <w:i/>
          <w:sz w:val="24"/>
          <w:szCs w:val="24"/>
          <w:vertAlign w:val="superscript"/>
        </w:rPr>
        <w:t>g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E57AB6">
        <w:rPr>
          <w:rFonts w:ascii="Times New Roman" w:hAnsi="Times New Roman"/>
          <w:i/>
          <w:sz w:val="24"/>
          <w:szCs w:val="24"/>
        </w:rPr>
        <w:t>School of Medicine, Southern University of Science and Technology, Shenzhen, China</w:t>
      </w:r>
    </w:p>
    <w:p w14:paraId="657AA9FC" w14:textId="7C0FEE89" w:rsidR="00F419B6" w:rsidRPr="00E64B96" w:rsidRDefault="00F419B6" w:rsidP="00F419B6">
      <w:pPr>
        <w:spacing w:line="300" w:lineRule="auto"/>
        <w:rPr>
          <w:rFonts w:ascii="Times New Roman" w:hAnsi="Times New Roman"/>
          <w:i/>
          <w:sz w:val="24"/>
          <w:szCs w:val="24"/>
        </w:rPr>
      </w:pPr>
      <w:bookmarkStart w:id="3" w:name="_GoBack"/>
      <w:bookmarkEnd w:id="3"/>
    </w:p>
    <w:p w14:paraId="2DD8035D" w14:textId="77777777" w:rsidR="00F419B6" w:rsidRPr="0050619E" w:rsidRDefault="00F419B6" w:rsidP="00F419B6">
      <w:pPr>
        <w:rPr>
          <w:rFonts w:ascii="Times New Roman" w:hAnsi="Times New Roman"/>
          <w:sz w:val="24"/>
          <w:szCs w:val="24"/>
        </w:rPr>
      </w:pPr>
    </w:p>
    <w:p w14:paraId="5305BFF4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1EA1E42F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43BBB22B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12AF0652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5F924470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095875ED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21B0B488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56DAAC25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</w:p>
    <w:p w14:paraId="1E0AF643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  <w:r w:rsidRPr="00E57AB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57AB6">
        <w:rPr>
          <w:rFonts w:ascii="Times New Roman" w:hAnsi="Times New Roman"/>
          <w:sz w:val="24"/>
          <w:szCs w:val="24"/>
        </w:rPr>
        <w:t>These authors contributed equally to this work.</w:t>
      </w:r>
    </w:p>
    <w:p w14:paraId="2596349E" w14:textId="77777777" w:rsidR="00F419B6" w:rsidRDefault="00F419B6" w:rsidP="00F419B6">
      <w:r>
        <w:rPr>
          <w:rFonts w:ascii="Times New Roman" w:hAnsi="Times New Roman"/>
          <w:sz w:val="24"/>
          <w:szCs w:val="24"/>
        </w:rPr>
        <w:t>*</w:t>
      </w:r>
      <w:r w:rsidRPr="00D046F4">
        <w:rPr>
          <w:rFonts w:ascii="Times New Roman" w:hAnsi="Times New Roman"/>
          <w:sz w:val="24"/>
          <w:szCs w:val="24"/>
        </w:rPr>
        <w:t xml:space="preserve"> </w:t>
      </w:r>
      <w:r w:rsidRPr="00E67C3E">
        <w:rPr>
          <w:rFonts w:ascii="Times New Roman" w:hAnsi="Times New Roman"/>
          <w:sz w:val="24"/>
          <w:szCs w:val="24"/>
        </w:rPr>
        <w:t>Corresponding author.</w:t>
      </w:r>
      <w:r w:rsidRPr="00D046F4">
        <w:t xml:space="preserve"> </w:t>
      </w:r>
    </w:p>
    <w:p w14:paraId="0E6D67CB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  <w:r w:rsidRPr="00E67C3E">
        <w:rPr>
          <w:rFonts w:ascii="Times New Roman" w:hAnsi="Times New Roman"/>
          <w:sz w:val="24"/>
          <w:szCs w:val="24"/>
        </w:rPr>
        <w:t xml:space="preserve">The Second Affiliated Hospital of Guangzhou University of Chinese Medicine, </w:t>
      </w:r>
      <w:r w:rsidRPr="0034286A">
        <w:rPr>
          <w:rFonts w:ascii="Times New Roman" w:hAnsi="Times New Roman"/>
          <w:sz w:val="24"/>
          <w:szCs w:val="24"/>
        </w:rPr>
        <w:t xml:space="preserve">No.12, </w:t>
      </w:r>
      <w:proofErr w:type="spellStart"/>
      <w:r w:rsidRPr="0034286A">
        <w:rPr>
          <w:rFonts w:ascii="Times New Roman" w:hAnsi="Times New Roman"/>
          <w:sz w:val="24"/>
          <w:szCs w:val="24"/>
        </w:rPr>
        <w:t>Jichang</w:t>
      </w:r>
      <w:proofErr w:type="spellEnd"/>
      <w:r w:rsidRPr="0034286A">
        <w:rPr>
          <w:rFonts w:ascii="Times New Roman" w:hAnsi="Times New Roman"/>
          <w:sz w:val="24"/>
          <w:szCs w:val="24"/>
        </w:rPr>
        <w:t xml:space="preserve"> Road, </w:t>
      </w:r>
      <w:proofErr w:type="spellStart"/>
      <w:r w:rsidRPr="0034286A">
        <w:rPr>
          <w:rFonts w:ascii="Times New Roman" w:hAnsi="Times New Roman"/>
          <w:sz w:val="24"/>
          <w:szCs w:val="24"/>
        </w:rPr>
        <w:t>Baiyun</w:t>
      </w:r>
      <w:proofErr w:type="spellEnd"/>
      <w:r w:rsidRPr="0034286A">
        <w:rPr>
          <w:rFonts w:ascii="Times New Roman" w:hAnsi="Times New Roman"/>
          <w:sz w:val="24"/>
          <w:szCs w:val="24"/>
        </w:rPr>
        <w:t xml:space="preserve"> District, Guangzhou City, Guangdong, China</w:t>
      </w:r>
      <w:r w:rsidRPr="00884E16">
        <w:rPr>
          <w:rFonts w:ascii="Times New Roman" w:hAnsi="Times New Roman"/>
          <w:sz w:val="24"/>
          <w:szCs w:val="24"/>
        </w:rPr>
        <w:t xml:space="preserve"> </w:t>
      </w:r>
      <w:r w:rsidRPr="00E67C3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Y</w:t>
      </w:r>
      <w:r w:rsidRPr="00E67C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Dou</w:t>
      </w:r>
      <w:r w:rsidRPr="00E67C3E">
        <w:rPr>
          <w:rFonts w:ascii="Times New Roman" w:hAnsi="Times New Roman"/>
          <w:sz w:val="24"/>
          <w:szCs w:val="24"/>
        </w:rPr>
        <w:t>).</w:t>
      </w:r>
    </w:p>
    <w:p w14:paraId="16339AC9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  <w:r w:rsidRPr="00E67C3E">
        <w:rPr>
          <w:rFonts w:ascii="Times New Roman" w:hAnsi="Times New Roman"/>
          <w:sz w:val="24"/>
          <w:szCs w:val="24"/>
        </w:rPr>
        <w:t xml:space="preserve">E-mail addresses: </w:t>
      </w:r>
      <w:r>
        <w:rPr>
          <w:rFonts w:ascii="Times New Roman" w:hAnsi="Times New Roman"/>
          <w:sz w:val="24"/>
          <w:szCs w:val="24"/>
        </w:rPr>
        <w:t>yaoxingdou@126.com</w:t>
      </w:r>
      <w:r w:rsidRPr="00E67C3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E67C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Dou</w:t>
      </w:r>
      <w:r w:rsidRPr="00E67C3E">
        <w:rPr>
          <w:rFonts w:ascii="Times New Roman" w:hAnsi="Times New Roman"/>
          <w:sz w:val="24"/>
          <w:szCs w:val="24"/>
        </w:rPr>
        <w:t>).</w:t>
      </w:r>
    </w:p>
    <w:p w14:paraId="54C5C1CC" w14:textId="77777777" w:rsidR="00F419B6" w:rsidRDefault="00F419B6" w:rsidP="00F419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Phone</w:t>
      </w:r>
      <w:r>
        <w:rPr>
          <w:rFonts w:ascii="Times New Roman" w:hAnsi="Times New Roman" w:hint="eastAsia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+86-13760723340 </w:t>
      </w:r>
      <w:r w:rsidRPr="00E67C3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Y</w:t>
      </w:r>
      <w:r w:rsidRPr="00E67C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Dou</w:t>
      </w:r>
      <w:r w:rsidRPr="00E67C3E">
        <w:rPr>
          <w:rFonts w:ascii="Times New Roman" w:hAnsi="Times New Roman"/>
          <w:sz w:val="24"/>
          <w:szCs w:val="24"/>
        </w:rPr>
        <w:t>)</w:t>
      </w:r>
    </w:p>
    <w:p w14:paraId="7E1CA8D7" w14:textId="2529DCCD" w:rsidR="0076200A" w:rsidRPr="0076200A" w:rsidRDefault="0076200A">
      <w:pPr>
        <w:widowControl/>
        <w:jc w:val="left"/>
      </w:pPr>
      <w:r w:rsidRPr="0076200A">
        <w:br w:type="page"/>
      </w:r>
    </w:p>
    <w:p w14:paraId="488985CA" w14:textId="77777777" w:rsidR="006901B5" w:rsidRPr="00943763" w:rsidRDefault="006901B5" w:rsidP="006901B5">
      <w:pPr>
        <w:autoSpaceDE w:val="0"/>
        <w:autoSpaceDN w:val="0"/>
        <w:adjustRightInd w:val="0"/>
        <w:snapToGrid w:val="0"/>
        <w:spacing w:line="480" w:lineRule="auto"/>
        <w:ind w:left="7785" w:hangingChars="3231" w:hanging="7785"/>
        <w:jc w:val="left"/>
        <w:rPr>
          <w:rFonts w:ascii="Times New Roman" w:eastAsia="宋体" w:hAnsi="Times New Roman"/>
          <w:b/>
          <w:kern w:val="0"/>
          <w:sz w:val="24"/>
          <w:szCs w:val="24"/>
        </w:rPr>
      </w:pPr>
      <w:r w:rsidRPr="00943763">
        <w:rPr>
          <w:rFonts w:ascii="Times New Roman" w:eastAsia="宋体" w:hAnsi="Times New Roman"/>
          <w:b/>
          <w:kern w:val="0"/>
          <w:sz w:val="24"/>
          <w:szCs w:val="24"/>
        </w:rPr>
        <w:lastRenderedPageBreak/>
        <w:t>List of Contents</w:t>
      </w:r>
    </w:p>
    <w:p w14:paraId="52086CDA" w14:textId="464C1118" w:rsidR="00ED7B90" w:rsidRDefault="0076200A" w:rsidP="00506D5F">
      <w:pPr>
        <w:spacing w:line="360" w:lineRule="auto"/>
        <w:ind w:left="1084" w:hangingChars="450" w:hanging="1084"/>
        <w:rPr>
          <w:rFonts w:ascii="Times New Roman" w:eastAsia="宋体" w:hAnsi="Times New Roman"/>
          <w:bCs/>
          <w:sz w:val="24"/>
          <w:szCs w:val="24"/>
        </w:rPr>
      </w:pPr>
      <w:r w:rsidRPr="0076200A">
        <w:rPr>
          <w:rFonts w:ascii="Times New Roman" w:eastAsia="宋体" w:hAnsi="Times New Roman"/>
          <w:b/>
          <w:bCs/>
          <w:sz w:val="24"/>
          <w:szCs w:val="24"/>
        </w:rPr>
        <w:t>Figure S1</w:t>
      </w:r>
      <w:r w:rsidRPr="0076200A">
        <w:rPr>
          <w:rFonts w:ascii="Times New Roman" w:eastAsia="宋体" w:hAnsi="Times New Roman"/>
          <w:bCs/>
          <w:sz w:val="24"/>
          <w:szCs w:val="24"/>
        </w:rPr>
        <w:t xml:space="preserve"> </w:t>
      </w:r>
      <w:proofErr w:type="gramStart"/>
      <w:r w:rsidR="00F419B6" w:rsidRPr="00F419B6">
        <w:rPr>
          <w:rFonts w:ascii="Times New Roman" w:eastAsia="宋体" w:hAnsi="Times New Roman"/>
          <w:bCs/>
          <w:sz w:val="24"/>
          <w:szCs w:val="24"/>
        </w:rPr>
        <w:t>The</w:t>
      </w:r>
      <w:proofErr w:type="gramEnd"/>
      <w:r w:rsidR="00F419B6" w:rsidRPr="00F419B6">
        <w:rPr>
          <w:rFonts w:ascii="Times New Roman" w:eastAsia="宋体" w:hAnsi="Times New Roman"/>
          <w:bCs/>
          <w:sz w:val="24"/>
          <w:szCs w:val="24"/>
        </w:rPr>
        <w:t xml:space="preserve"> apparent solubility results of OBB raw material and OBB-ASDs samples.</w:t>
      </w:r>
    </w:p>
    <w:p w14:paraId="167848D8" w14:textId="065BF143" w:rsidR="00F419B6" w:rsidRDefault="00F419B6" w:rsidP="00506D5F">
      <w:pPr>
        <w:spacing w:line="360" w:lineRule="auto"/>
        <w:ind w:left="1084" w:hangingChars="450" w:hanging="1084"/>
        <w:rPr>
          <w:rFonts w:ascii="Times New Roman" w:eastAsia="宋体" w:hAnsi="Times New Roman"/>
          <w:bCs/>
          <w:sz w:val="24"/>
          <w:szCs w:val="24"/>
        </w:rPr>
      </w:pPr>
      <w:r w:rsidRPr="0076200A">
        <w:rPr>
          <w:rFonts w:ascii="Times New Roman" w:eastAsia="宋体" w:hAnsi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 w:rsidRPr="0076200A"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Pr="00F419B6">
        <w:rPr>
          <w:rFonts w:ascii="Times New Roman" w:eastAsia="宋体" w:hAnsi="Times New Roman"/>
          <w:bCs/>
          <w:sz w:val="24"/>
          <w:szCs w:val="24"/>
        </w:rPr>
        <w:t>Mice kidney histopathological Section (Hematoxylin and Eosin Staining), 200× magnification.</w:t>
      </w:r>
    </w:p>
    <w:p w14:paraId="5912B805" w14:textId="24F0D0B7" w:rsidR="00F419B6" w:rsidRPr="00F419B6" w:rsidRDefault="00F419B6" w:rsidP="00506D5F">
      <w:pPr>
        <w:spacing w:line="360" w:lineRule="auto"/>
        <w:ind w:left="1084" w:hangingChars="450" w:hanging="1084"/>
        <w:rPr>
          <w:rFonts w:ascii="Times New Roman" w:eastAsia="宋体" w:hAnsi="Times New Roman"/>
          <w:bCs/>
          <w:sz w:val="24"/>
          <w:szCs w:val="24"/>
        </w:rPr>
      </w:pPr>
      <w:r w:rsidRPr="0076200A">
        <w:rPr>
          <w:rFonts w:ascii="Times New Roman" w:eastAsia="宋体" w:hAnsi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3</w:t>
      </w:r>
      <w:r w:rsidRPr="0076200A"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Pr="00F419B6">
        <w:rPr>
          <w:rFonts w:ascii="Times New Roman" w:eastAsia="宋体" w:hAnsi="Times New Roman"/>
          <w:bCs/>
          <w:sz w:val="24"/>
          <w:szCs w:val="24"/>
        </w:rPr>
        <w:t>Figure S3. Stability testing of OBB-ASDs samples for 3 weeks.</w:t>
      </w:r>
    </w:p>
    <w:p w14:paraId="600F8CF8" w14:textId="1303E916" w:rsidR="00506D5F" w:rsidRDefault="00506D5F">
      <w:pPr>
        <w:widowControl/>
        <w:jc w:val="left"/>
        <w:rPr>
          <w:rFonts w:ascii="Times New Roman" w:eastAsia="宋体" w:hAnsi="Times New Roman"/>
          <w:bCs/>
          <w:sz w:val="24"/>
          <w:szCs w:val="24"/>
        </w:rPr>
      </w:pPr>
      <w:r>
        <w:rPr>
          <w:rFonts w:ascii="Times New Roman" w:eastAsia="宋体" w:hAnsi="Times New Roman"/>
          <w:bCs/>
          <w:sz w:val="24"/>
          <w:szCs w:val="24"/>
        </w:rPr>
        <w:br w:type="page"/>
      </w:r>
    </w:p>
    <w:p w14:paraId="48524C77" w14:textId="411955F8" w:rsidR="00F419B6" w:rsidRPr="00F419B6" w:rsidRDefault="00F419B6" w:rsidP="00F419B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/>
          <w:b/>
          <w:bCs/>
          <w:sz w:val="24"/>
          <w:szCs w:val="24"/>
        </w:rPr>
      </w:pPr>
      <w:r w:rsidRPr="00F419B6">
        <w:rPr>
          <w:rFonts w:ascii="Times New Roman" w:eastAsia="宋体" w:hAnsi="Times New Roman"/>
          <w:b/>
          <w:bCs/>
          <w:sz w:val="24"/>
          <w:szCs w:val="24"/>
        </w:rPr>
        <w:lastRenderedPageBreak/>
        <w:t>Apparent solubility investigation</w:t>
      </w:r>
    </w:p>
    <w:p w14:paraId="0403E7D2" w14:textId="5C82701F" w:rsidR="00F419B6" w:rsidRPr="00F419B6" w:rsidRDefault="00F419B6" w:rsidP="00F419B6">
      <w:pPr>
        <w:spacing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P</w:t>
      </w:r>
      <w:r w:rsidRPr="00F419B6">
        <w:rPr>
          <w:rFonts w:ascii="Times New Roman" w:eastAsia="宋体" w:hAnsi="Times New Roman"/>
          <w:bCs/>
          <w:sz w:val="24"/>
          <w:szCs w:val="24"/>
        </w:rPr>
        <w:t xml:space="preserve">recisely weigh appropriate amounts of OBB active pharmaceutical ingredient, solid dispersion HPMCAS, PVP-K30, </w:t>
      </w:r>
      <w:proofErr w:type="spellStart"/>
      <w:r w:rsidRPr="00F419B6">
        <w:rPr>
          <w:rFonts w:ascii="Times New Roman" w:eastAsia="宋体" w:hAnsi="Times New Roman"/>
          <w:bCs/>
          <w:sz w:val="24"/>
          <w:szCs w:val="24"/>
        </w:rPr>
        <w:t>Soluplus</w:t>
      </w:r>
      <w:proofErr w:type="spellEnd"/>
      <w:r w:rsidRPr="00F419B6">
        <w:rPr>
          <w:rFonts w:ascii="Times New Roman" w:eastAsia="宋体" w:hAnsi="Times New Roman"/>
          <w:bCs/>
          <w:sz w:val="24"/>
          <w:szCs w:val="24"/>
        </w:rPr>
        <w:t>, and VA64 (including 5 mg of API) into conical flasks. Add 50 mL of 0.02 mM phosphate buffer (pH 6.8) to each flask, and place them in a water bath at a constant temperature shaker (37 ± 0.5°C). Samples are taken at 5, 10, 20, 30 min, and 1, 2, 4, 8, and 24 hours, filtered, diluted, and analyzed using LC-MS/MS. Results are shown in Figure S1</w:t>
      </w:r>
      <w:r>
        <w:rPr>
          <w:rFonts w:ascii="Times New Roman" w:eastAsia="宋体" w:hAnsi="Times New Roman"/>
          <w:bCs/>
          <w:sz w:val="24"/>
          <w:szCs w:val="24"/>
        </w:rPr>
        <w:t>.</w:t>
      </w:r>
    </w:p>
    <w:p w14:paraId="18E920A0" w14:textId="66F6AA88" w:rsidR="00F419B6" w:rsidRPr="00F419B6" w:rsidRDefault="00F419B6" w:rsidP="00F419B6">
      <w:pPr>
        <w:widowControl/>
        <w:tabs>
          <w:tab w:val="left" w:pos="3435"/>
        </w:tabs>
        <w:spacing w:beforeLines="50" w:before="156" w:afterLines="50" w:after="156" w:line="360" w:lineRule="auto"/>
        <w:jc w:val="center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noProof/>
        </w:rPr>
        <w:drawing>
          <wp:inline distT="0" distB="0" distL="0" distR="0" wp14:anchorId="75617805" wp14:editId="4D980847">
            <wp:extent cx="4055165" cy="2704746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7748" cy="271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516C" w14:textId="565C8800" w:rsidR="00F419B6" w:rsidRDefault="00F419B6" w:rsidP="00F419B6">
      <w:pPr>
        <w:widowControl/>
        <w:tabs>
          <w:tab w:val="left" w:pos="3435"/>
        </w:tabs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sz w:val="24"/>
          <w:szCs w:val="24"/>
        </w:rPr>
        <w:t>Figure S1.</w:t>
      </w:r>
      <w:r w:rsidRPr="00F419B6">
        <w:t xml:space="preserve"> </w:t>
      </w:r>
      <w:r w:rsidRPr="00F419B6">
        <w:rPr>
          <w:rFonts w:ascii="Times New Roman" w:eastAsia="宋体" w:hAnsi="Times New Roman"/>
          <w:bCs/>
          <w:sz w:val="24"/>
          <w:szCs w:val="24"/>
        </w:rPr>
        <w:t>The apparent solubility results of OBB raw material and OBB-ASDs samples.</w:t>
      </w:r>
    </w:p>
    <w:p w14:paraId="36DA400B" w14:textId="77777777" w:rsidR="00F419B6" w:rsidRDefault="00F419B6" w:rsidP="00F419B6">
      <w:pPr>
        <w:widowControl/>
        <w:tabs>
          <w:tab w:val="left" w:pos="3435"/>
        </w:tabs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</w:p>
    <w:p w14:paraId="2EE7DBA4" w14:textId="09D6AA78" w:rsidR="00F419B6" w:rsidRPr="00F419B6" w:rsidRDefault="00F419B6" w:rsidP="00F419B6">
      <w:pPr>
        <w:pStyle w:val="a7"/>
        <w:widowControl/>
        <w:numPr>
          <w:ilvl w:val="0"/>
          <w:numId w:val="3"/>
        </w:numPr>
        <w:tabs>
          <w:tab w:val="left" w:pos="3435"/>
        </w:tabs>
        <w:spacing w:beforeLines="50" w:before="156" w:afterLines="50" w:after="156" w:line="360" w:lineRule="auto"/>
        <w:ind w:firstLineChars="0"/>
        <w:rPr>
          <w:rFonts w:ascii="Times New Roman" w:eastAsia="宋体" w:hAnsi="Times New Roman"/>
          <w:b/>
          <w:bCs/>
          <w:sz w:val="24"/>
          <w:szCs w:val="24"/>
        </w:rPr>
      </w:pPr>
      <w:r w:rsidRPr="00F419B6">
        <w:rPr>
          <w:rFonts w:ascii="Times New Roman" w:eastAsia="宋体" w:hAnsi="Times New Roman"/>
          <w:b/>
          <w:bCs/>
          <w:sz w:val="24"/>
          <w:szCs w:val="24"/>
        </w:rPr>
        <w:t xml:space="preserve">Chronic nephrotoxicity assessment of OBB </w:t>
      </w:r>
    </w:p>
    <w:p w14:paraId="3AEC5E1C" w14:textId="183A7702" w:rsidR="00F419B6" w:rsidRPr="00F419B6" w:rsidRDefault="00F419B6" w:rsidP="00F419B6">
      <w:pPr>
        <w:widowControl/>
        <w:tabs>
          <w:tab w:val="left" w:pos="3435"/>
        </w:tabs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sz w:val="24"/>
          <w:szCs w:val="24"/>
        </w:rPr>
        <w:t xml:space="preserve">Male C57BL/6 mice were orally administered OBB </w:t>
      </w:r>
      <w:r w:rsidR="00B94DE1">
        <w:rPr>
          <w:rFonts w:ascii="Times New Roman" w:eastAsia="宋体" w:hAnsi="Times New Roman" w:hint="eastAsia"/>
          <w:bCs/>
          <w:sz w:val="24"/>
          <w:szCs w:val="24"/>
        </w:rPr>
        <w:t>and</w:t>
      </w:r>
      <w:r w:rsidR="00B94DE1">
        <w:rPr>
          <w:rFonts w:ascii="Times New Roman" w:eastAsia="宋体" w:hAnsi="Times New Roman"/>
          <w:bCs/>
          <w:sz w:val="24"/>
          <w:szCs w:val="24"/>
        </w:rPr>
        <w:t xml:space="preserve"> OBB-HPMCAS </w:t>
      </w:r>
      <w:r w:rsidRPr="00F419B6">
        <w:rPr>
          <w:rFonts w:ascii="Times New Roman" w:eastAsia="宋体" w:hAnsi="Times New Roman"/>
          <w:bCs/>
          <w:sz w:val="24"/>
          <w:szCs w:val="24"/>
        </w:rPr>
        <w:t xml:space="preserve">at a dose of 50 mg/kg for 16 weeks. Kidney tissues were collected at 4, 8, and 16 weeks for HE staining to observe the long-term effects of OBB administration on the kidneys. As shown in Figure S2, there was no significant kidney damage after continuous administration of </w:t>
      </w:r>
      <w:r w:rsidR="00B94DE1" w:rsidRPr="00F419B6">
        <w:rPr>
          <w:rFonts w:ascii="Times New Roman" w:eastAsia="宋体" w:hAnsi="Times New Roman"/>
          <w:bCs/>
          <w:sz w:val="24"/>
          <w:szCs w:val="24"/>
        </w:rPr>
        <w:t xml:space="preserve">OBB </w:t>
      </w:r>
      <w:r w:rsidR="00B94DE1">
        <w:rPr>
          <w:rFonts w:ascii="Times New Roman" w:eastAsia="宋体" w:hAnsi="Times New Roman" w:hint="eastAsia"/>
          <w:bCs/>
          <w:sz w:val="24"/>
          <w:szCs w:val="24"/>
        </w:rPr>
        <w:t>and</w:t>
      </w:r>
      <w:r w:rsidR="00B94DE1">
        <w:rPr>
          <w:rFonts w:ascii="Times New Roman" w:eastAsia="宋体" w:hAnsi="Times New Roman"/>
          <w:bCs/>
          <w:sz w:val="24"/>
          <w:szCs w:val="24"/>
        </w:rPr>
        <w:t xml:space="preserve"> OBB-HPMCAS </w:t>
      </w:r>
      <w:r w:rsidRPr="00F419B6">
        <w:rPr>
          <w:rFonts w:ascii="Times New Roman" w:eastAsia="宋体" w:hAnsi="Times New Roman"/>
          <w:bCs/>
          <w:sz w:val="24"/>
          <w:szCs w:val="24"/>
        </w:rPr>
        <w:t>for 4, 8, and 16 weeks.</w:t>
      </w:r>
    </w:p>
    <w:p w14:paraId="3C2D922C" w14:textId="2D931875" w:rsidR="00F419B6" w:rsidRPr="00F419B6" w:rsidRDefault="00F419B6" w:rsidP="00F419B6">
      <w:pPr>
        <w:widowControl/>
        <w:tabs>
          <w:tab w:val="left" w:pos="3435"/>
        </w:tabs>
        <w:spacing w:line="360" w:lineRule="auto"/>
        <w:jc w:val="center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27D0511A" wp14:editId="54D38968">
            <wp:extent cx="4402217" cy="218247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标题-1 拷贝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217" cy="218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8411" w14:textId="77DCA10B" w:rsidR="00F419B6" w:rsidRPr="00F419B6" w:rsidRDefault="00F419B6" w:rsidP="00F419B6">
      <w:pPr>
        <w:widowControl/>
        <w:tabs>
          <w:tab w:val="left" w:pos="3435"/>
        </w:tabs>
        <w:spacing w:afterLines="50" w:after="156"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sz w:val="24"/>
          <w:szCs w:val="24"/>
        </w:rPr>
        <w:t xml:space="preserve">Figure S2. </w:t>
      </w:r>
      <w:bookmarkStart w:id="4" w:name="_Hlk165908797"/>
      <w:r w:rsidRPr="00F419B6">
        <w:rPr>
          <w:rFonts w:ascii="Times New Roman" w:eastAsia="宋体" w:hAnsi="Times New Roman"/>
          <w:bCs/>
          <w:sz w:val="24"/>
          <w:szCs w:val="24"/>
        </w:rPr>
        <w:t xml:space="preserve">Mice </w:t>
      </w:r>
      <w:r w:rsidRPr="00F419B6">
        <w:rPr>
          <w:rFonts w:ascii="Times New Roman" w:eastAsia="宋体" w:hAnsi="Times New Roman" w:hint="eastAsia"/>
          <w:bCs/>
          <w:sz w:val="24"/>
          <w:szCs w:val="24"/>
        </w:rPr>
        <w:t>k</w:t>
      </w:r>
      <w:r w:rsidRPr="00F419B6">
        <w:rPr>
          <w:rFonts w:ascii="Times New Roman" w:eastAsia="宋体" w:hAnsi="Times New Roman"/>
          <w:bCs/>
          <w:sz w:val="24"/>
          <w:szCs w:val="24"/>
        </w:rPr>
        <w:t xml:space="preserve">idney </w:t>
      </w:r>
      <w:r w:rsidRPr="00F419B6">
        <w:rPr>
          <w:rFonts w:ascii="Times New Roman" w:eastAsia="宋体" w:hAnsi="Times New Roman" w:hint="eastAsia"/>
          <w:bCs/>
          <w:sz w:val="24"/>
          <w:szCs w:val="24"/>
        </w:rPr>
        <w:t>h</w:t>
      </w:r>
      <w:r w:rsidRPr="00F419B6">
        <w:rPr>
          <w:rFonts w:ascii="Times New Roman" w:eastAsia="宋体" w:hAnsi="Times New Roman"/>
          <w:bCs/>
          <w:sz w:val="24"/>
          <w:szCs w:val="24"/>
        </w:rPr>
        <w:t>istopathological Section (Hematoxylin and Eosin Staining), 200× magnification.</w:t>
      </w:r>
      <w:bookmarkEnd w:id="4"/>
      <w:r w:rsidR="00B94DE1"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="00B94DE1" w:rsidRPr="00B94DE1">
        <w:rPr>
          <w:rFonts w:ascii="Times New Roman" w:eastAsia="宋体" w:hAnsi="Times New Roman"/>
          <w:bCs/>
          <w:sz w:val="24"/>
          <w:szCs w:val="24"/>
        </w:rPr>
        <w:t>(A) OBB API; (B) OBB-HPMCAS.</w:t>
      </w:r>
    </w:p>
    <w:p w14:paraId="7102728B" w14:textId="14F19142" w:rsidR="0076200A" w:rsidRDefault="0076200A"/>
    <w:p w14:paraId="125E5863" w14:textId="5F610389" w:rsidR="00F419B6" w:rsidRPr="00F419B6" w:rsidRDefault="00F419B6" w:rsidP="00F419B6">
      <w:pPr>
        <w:pStyle w:val="a7"/>
        <w:numPr>
          <w:ilvl w:val="0"/>
          <w:numId w:val="3"/>
        </w:numPr>
        <w:ind w:firstLineChars="0"/>
        <w:rPr>
          <w:rFonts w:ascii="Times New Roman" w:eastAsia="宋体" w:hAnsi="Times New Roman"/>
          <w:b/>
          <w:bCs/>
          <w:sz w:val="24"/>
          <w:szCs w:val="24"/>
        </w:rPr>
      </w:pPr>
      <w:r w:rsidRPr="00F419B6">
        <w:rPr>
          <w:rFonts w:ascii="Times New Roman" w:eastAsia="宋体" w:hAnsi="Times New Roman"/>
          <w:b/>
          <w:bCs/>
          <w:sz w:val="24"/>
          <w:szCs w:val="24"/>
        </w:rPr>
        <w:t>Stability testing of OBB-ASDs</w:t>
      </w:r>
    </w:p>
    <w:p w14:paraId="4617F6DE" w14:textId="18D76591" w:rsidR="00F419B6" w:rsidRPr="00F419B6" w:rsidRDefault="00F419B6" w:rsidP="00F419B6">
      <w:pPr>
        <w:spacing w:line="360" w:lineRule="auto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sz w:val="24"/>
          <w:szCs w:val="24"/>
        </w:rPr>
        <w:t>Following the sealing of the OBB-ASDs samples with aluminum foil, they were stored in a closed container under accelerated stability conditions (25±2°C, 60±5% RH) for 3 weeks. Subsequently, dissolution testing was performed on the samples to evaluate their stability. The stability results are depicted in Figure S3, indicating that the dissolution profiles of OBB-ASDs particles remained consistent after 3 weeks of storage under accelerated stability conditions.</w:t>
      </w:r>
    </w:p>
    <w:p w14:paraId="511EC070" w14:textId="77777777" w:rsidR="00F419B6" w:rsidRPr="00F419B6" w:rsidRDefault="00F419B6" w:rsidP="00F419B6">
      <w:pPr>
        <w:widowControl/>
        <w:tabs>
          <w:tab w:val="left" w:pos="3435"/>
        </w:tabs>
        <w:spacing w:beforeLines="50" w:before="156"/>
        <w:jc w:val="center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noProof/>
        </w:rPr>
        <w:drawing>
          <wp:inline distT="0" distB="0" distL="0" distR="0" wp14:anchorId="7F3D4D91" wp14:editId="0AAD5C39">
            <wp:extent cx="2735249" cy="1991996"/>
            <wp:effectExtent l="0" t="0" r="825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9730" cy="20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EE0A" w14:textId="3D7D70A2" w:rsidR="00F419B6" w:rsidRDefault="00F419B6" w:rsidP="00F419B6">
      <w:pPr>
        <w:widowControl/>
        <w:tabs>
          <w:tab w:val="left" w:pos="3435"/>
        </w:tabs>
        <w:spacing w:beforeLines="50" w:before="156" w:afterLines="50" w:after="156" w:line="360" w:lineRule="auto"/>
        <w:ind w:firstLineChars="200" w:firstLine="480"/>
        <w:jc w:val="center"/>
        <w:rPr>
          <w:rFonts w:ascii="Times New Roman" w:eastAsia="宋体" w:hAnsi="Times New Roman"/>
          <w:bCs/>
          <w:sz w:val="24"/>
          <w:szCs w:val="24"/>
        </w:rPr>
      </w:pPr>
      <w:r w:rsidRPr="00F419B6">
        <w:rPr>
          <w:rFonts w:ascii="Times New Roman" w:eastAsia="宋体" w:hAnsi="Times New Roman"/>
          <w:bCs/>
          <w:sz w:val="24"/>
          <w:szCs w:val="24"/>
        </w:rPr>
        <w:t>Figure S</w:t>
      </w:r>
      <w:r w:rsidRPr="00F419B6">
        <w:rPr>
          <w:rFonts w:ascii="Times New Roman" w:eastAsia="宋体" w:hAnsi="Times New Roman" w:hint="eastAsia"/>
          <w:bCs/>
          <w:sz w:val="24"/>
          <w:szCs w:val="24"/>
        </w:rPr>
        <w:t>3</w:t>
      </w:r>
      <w:r w:rsidRPr="00F419B6">
        <w:rPr>
          <w:rFonts w:ascii="Times New Roman" w:eastAsia="宋体" w:hAnsi="Times New Roman"/>
          <w:bCs/>
          <w:sz w:val="24"/>
          <w:szCs w:val="24"/>
        </w:rPr>
        <w:t xml:space="preserve">. </w:t>
      </w:r>
      <w:bookmarkStart w:id="5" w:name="_Hlk165909452"/>
      <w:r w:rsidRPr="00F419B6">
        <w:rPr>
          <w:rFonts w:ascii="Times New Roman" w:eastAsia="宋体" w:hAnsi="Times New Roman"/>
          <w:bCs/>
          <w:sz w:val="24"/>
          <w:szCs w:val="24"/>
        </w:rPr>
        <w:t>Stability testing of OBB-ASDs</w:t>
      </w:r>
      <w:bookmarkEnd w:id="5"/>
      <w:r w:rsidRPr="00F419B6">
        <w:rPr>
          <w:rFonts w:ascii="Times New Roman" w:eastAsia="宋体" w:hAnsi="Times New Roman"/>
          <w:bCs/>
          <w:sz w:val="24"/>
          <w:szCs w:val="24"/>
        </w:rPr>
        <w:t xml:space="preserve"> samples for 3 weeks.</w:t>
      </w:r>
    </w:p>
    <w:p w14:paraId="1056C801" w14:textId="6AED2F57" w:rsidR="0030339D" w:rsidRDefault="0030339D" w:rsidP="0030339D">
      <w:pPr>
        <w:widowControl/>
        <w:tabs>
          <w:tab w:val="left" w:pos="3435"/>
        </w:tabs>
        <w:spacing w:beforeLines="50" w:before="156" w:afterLines="50" w:after="156" w:line="360" w:lineRule="auto"/>
        <w:jc w:val="center"/>
        <w:rPr>
          <w:rFonts w:ascii="Times New Roman" w:eastAsia="宋体" w:hAnsi="Times New Roman"/>
          <w:bCs/>
          <w:sz w:val="24"/>
          <w:szCs w:val="24"/>
        </w:rPr>
      </w:pPr>
      <w:r>
        <w:rPr>
          <w:rFonts w:ascii="Times New Roman" w:eastAsia="宋体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283E1D7C" wp14:editId="06C2AC65">
            <wp:extent cx="5064080" cy="6512119"/>
            <wp:effectExtent l="0" t="0" r="381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B_orig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634" cy="652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1987" w14:textId="77777777" w:rsidR="0030339D" w:rsidRPr="00F419B6" w:rsidRDefault="0030339D" w:rsidP="00F419B6">
      <w:pPr>
        <w:widowControl/>
        <w:tabs>
          <w:tab w:val="left" w:pos="3435"/>
        </w:tabs>
        <w:spacing w:beforeLines="50" w:before="156" w:afterLines="50" w:after="156" w:line="360" w:lineRule="auto"/>
        <w:ind w:firstLineChars="200" w:firstLine="480"/>
        <w:jc w:val="center"/>
        <w:rPr>
          <w:rFonts w:ascii="Times New Roman" w:eastAsia="宋体" w:hAnsi="Times New Roman"/>
          <w:bCs/>
          <w:sz w:val="24"/>
          <w:szCs w:val="24"/>
        </w:rPr>
      </w:pPr>
    </w:p>
    <w:sectPr w:rsidR="0030339D" w:rsidRPr="00F41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186BD" w14:textId="77777777" w:rsidR="00EB6D97" w:rsidRDefault="00EB6D97" w:rsidP="0076200A">
      <w:r>
        <w:separator/>
      </w:r>
    </w:p>
  </w:endnote>
  <w:endnote w:type="continuationSeparator" w:id="0">
    <w:p w14:paraId="53F41A6E" w14:textId="77777777" w:rsidR="00EB6D97" w:rsidRDefault="00EB6D97" w:rsidP="0076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3A5CB" w14:textId="77777777" w:rsidR="00EB6D97" w:rsidRDefault="00EB6D97" w:rsidP="0076200A">
      <w:r>
        <w:separator/>
      </w:r>
    </w:p>
  </w:footnote>
  <w:footnote w:type="continuationSeparator" w:id="0">
    <w:p w14:paraId="7223B52C" w14:textId="77777777" w:rsidR="00EB6D97" w:rsidRDefault="00EB6D97" w:rsidP="00762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DF0"/>
    <w:multiLevelType w:val="hybridMultilevel"/>
    <w:tmpl w:val="A4D4FD9E"/>
    <w:lvl w:ilvl="0" w:tplc="2EC23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2F315D"/>
    <w:multiLevelType w:val="hybridMultilevel"/>
    <w:tmpl w:val="755A8CD0"/>
    <w:lvl w:ilvl="0" w:tplc="06368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C621A66"/>
    <w:multiLevelType w:val="hybridMultilevel"/>
    <w:tmpl w:val="31C24BF8"/>
    <w:lvl w:ilvl="0" w:tplc="F0FA4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W0tDAyM7O0NDc1MrBU0lEKTi0uzszPAykwrQUA9o2TpywAAAA="/>
  </w:docVars>
  <w:rsids>
    <w:rsidRoot w:val="00853546"/>
    <w:rsid w:val="0013502C"/>
    <w:rsid w:val="0030339D"/>
    <w:rsid w:val="004114D1"/>
    <w:rsid w:val="004C6759"/>
    <w:rsid w:val="00506D5F"/>
    <w:rsid w:val="005B75FB"/>
    <w:rsid w:val="005C406E"/>
    <w:rsid w:val="006901B5"/>
    <w:rsid w:val="0076200A"/>
    <w:rsid w:val="00853546"/>
    <w:rsid w:val="00866FB6"/>
    <w:rsid w:val="00A541CE"/>
    <w:rsid w:val="00AA36EB"/>
    <w:rsid w:val="00B72657"/>
    <w:rsid w:val="00B94DE1"/>
    <w:rsid w:val="00D026A1"/>
    <w:rsid w:val="00E64B96"/>
    <w:rsid w:val="00EB6D97"/>
    <w:rsid w:val="00ED7B90"/>
    <w:rsid w:val="00F419B6"/>
    <w:rsid w:val="00F5170D"/>
    <w:rsid w:val="00F5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C7887"/>
  <w15:chartTrackingRefBased/>
  <w15:docId w15:val="{92829916-BBAB-427E-955C-B1221374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5F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0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00A"/>
    <w:rPr>
      <w:sz w:val="18"/>
      <w:szCs w:val="18"/>
    </w:rPr>
  </w:style>
  <w:style w:type="paragraph" w:styleId="a7">
    <w:name w:val="List Paragraph"/>
    <w:basedOn w:val="a"/>
    <w:uiPriority w:val="34"/>
    <w:qFormat/>
    <w:rsid w:val="0076200A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8">
    <w:name w:val="Table Grid"/>
    <w:basedOn w:val="a1"/>
    <w:uiPriority w:val="39"/>
    <w:rsid w:val="0076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4114D1"/>
    <w:pPr>
      <w:widowControl/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kern w:val="0"/>
      <w:sz w:val="22"/>
    </w:rPr>
  </w:style>
  <w:style w:type="paragraph" w:styleId="a9">
    <w:name w:val="footnote text"/>
    <w:basedOn w:val="a"/>
    <w:link w:val="aa"/>
    <w:uiPriority w:val="99"/>
    <w:unhideWhenUsed/>
    <w:rsid w:val="004114D1"/>
    <w:pPr>
      <w:widowControl/>
      <w:jc w:val="left"/>
    </w:pPr>
    <w:rPr>
      <w:rFonts w:asciiTheme="minorHAnsi" w:eastAsiaTheme="minorEastAsia" w:hAnsiTheme="minorHAnsi"/>
      <w:kern w:val="0"/>
      <w:sz w:val="20"/>
      <w:szCs w:val="20"/>
    </w:rPr>
  </w:style>
  <w:style w:type="character" w:customStyle="1" w:styleId="aa">
    <w:name w:val="脚注文本 字符"/>
    <w:basedOn w:val="a0"/>
    <w:link w:val="a9"/>
    <w:uiPriority w:val="99"/>
    <w:rsid w:val="004114D1"/>
    <w:rPr>
      <w:rFonts w:cs="Times New Roman"/>
      <w:kern w:val="0"/>
      <w:sz w:val="20"/>
      <w:szCs w:val="20"/>
    </w:rPr>
  </w:style>
  <w:style w:type="character" w:styleId="ab">
    <w:name w:val="Subtle Emphasis"/>
    <w:basedOn w:val="a0"/>
    <w:uiPriority w:val="19"/>
    <w:qFormat/>
    <w:rsid w:val="004114D1"/>
    <w:rPr>
      <w:i/>
      <w:iCs/>
    </w:rPr>
  </w:style>
  <w:style w:type="table" w:styleId="-1">
    <w:name w:val="Light Shading Accent 1"/>
    <w:basedOn w:val="a1"/>
    <w:uiPriority w:val="60"/>
    <w:rsid w:val="004114D1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3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417161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11250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497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687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282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06651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24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657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5420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592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3487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0077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7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951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98690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36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Yaoxing Dou</dc:creator>
  <cp:keywords/>
  <dc:description/>
  <cp:lastModifiedBy>Yaoxing Dou</cp:lastModifiedBy>
  <cp:revision>17</cp:revision>
  <dcterms:created xsi:type="dcterms:W3CDTF">2024-03-18T01:17:00Z</dcterms:created>
  <dcterms:modified xsi:type="dcterms:W3CDTF">2024-05-09T06:59:00Z</dcterms:modified>
</cp:coreProperties>
</file>