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A6" w:rsidRDefault="00937ACC">
      <w:pPr>
        <w:pStyle w:val="NormalWeb"/>
        <w:spacing w:beforeAutospacing="0" w:afterAutospacing="0" w:line="480" w:lineRule="auto"/>
        <w:ind w:left="360"/>
      </w:pPr>
      <w:bookmarkStart w:id="0" w:name="_Hlk168645139"/>
      <w:r>
        <w:rPr>
          <w:rFonts w:ascii="Calibri" w:hAnsi="Calibri" w:cs="Calibri"/>
          <w:b/>
          <w:bCs/>
          <w:color w:val="000000"/>
          <w:sz w:val="20"/>
          <w:szCs w:val="20"/>
        </w:rPr>
        <w:t>Supplem</w:t>
      </w:r>
      <w:bookmarkStart w:id="1" w:name="_GoBack"/>
      <w:bookmarkEnd w:id="1"/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entary information </w:t>
      </w:r>
    </w:p>
    <w:p w:rsidR="004062A6" w:rsidRDefault="00937ACC">
      <w:pPr>
        <w:ind w:left="360"/>
        <w:rPr>
          <w:rFonts w:ascii="Calibri" w:eastAsia="SimSun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br w:type="page"/>
      </w:r>
    </w:p>
    <w:p w:rsidR="004062A6" w:rsidRDefault="00937ACC">
      <w:pPr>
        <w:spacing w:line="480" w:lineRule="auto"/>
        <w:ind w:left="720"/>
        <w:rPr>
          <w:lang w:val="en-GB"/>
        </w:rPr>
      </w:pPr>
      <w:r>
        <w:rPr>
          <w:noProof/>
          <w:lang w:val="en-IN" w:eastAsia="en-IN"/>
        </w:rPr>
        <w:lastRenderedPageBreak/>
        <w:drawing>
          <wp:inline distT="0" distB="0" distL="114300" distR="114300">
            <wp:extent cx="5147310" cy="8855710"/>
            <wp:effectExtent l="0" t="0" r="8890" b="8890"/>
            <wp:docPr id="2" name="Picture 2" descr="Supplementary fig1_relative to Fig2c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upplementary fig1_relative to Fig2co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</w:pPr>
      <w:r>
        <w:rPr>
          <w:rFonts w:ascii="Calibri" w:hAnsi="Calibri" w:cs="Calibri"/>
          <w:color w:val="000000"/>
          <w:sz w:val="20"/>
          <w:szCs w:val="20"/>
        </w:rPr>
        <w:lastRenderedPageBreak/>
        <w:t>Supplementary Fig S1. A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up</w:t>
      </w:r>
      <w:r>
        <w:rPr>
          <w:rFonts w:ascii="Calibri" w:hAnsi="Calibri" w:cs="Calibri"/>
          <w:color w:val="000000"/>
          <w:sz w:val="20"/>
          <w:szCs w:val="20"/>
        </w:rPr>
        <w:t xml:space="preserve">) Boxplot of CUL3 expression [Transcript per million values (TPM)] in 24 different tumor and normal samples  retrieved from UALCAN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webportal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and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down</w:t>
      </w:r>
      <w:r>
        <w:rPr>
          <w:rFonts w:ascii="Calibri" w:hAnsi="Calibri" w:cs="Calibri"/>
          <w:color w:val="000000"/>
          <w:sz w:val="20"/>
          <w:szCs w:val="20"/>
        </w:rPr>
        <w:t xml:space="preserve">) Boxplot of CUL3 expression [Variance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stabilising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transformation (VST counts)] in 19 tumor and normal tissues retrieved from GEPIA2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webportal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, B Kaplan-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meier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plot of high versus low CUL3 expression of DLBC patients calculated and retrieved from UALCAN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left</w:t>
      </w:r>
      <w:r>
        <w:rPr>
          <w:rFonts w:ascii="Calibri" w:hAnsi="Calibri" w:cs="Calibri"/>
          <w:color w:val="000000"/>
          <w:sz w:val="20"/>
          <w:szCs w:val="20"/>
        </w:rPr>
        <w:t>) and Kaplan-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meier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plotter data sourc</w:t>
      </w:r>
      <w:r>
        <w:rPr>
          <w:rFonts w:ascii="Calibri" w:hAnsi="Calibri" w:cs="Calibri"/>
          <w:color w:val="000000"/>
          <w:sz w:val="20"/>
          <w:szCs w:val="20"/>
        </w:rPr>
        <w:t>e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right</w:t>
      </w:r>
      <w:r>
        <w:rPr>
          <w:rFonts w:ascii="Calibri" w:hAnsi="Calibri" w:cs="Calibri"/>
          <w:color w:val="000000"/>
          <w:sz w:val="20"/>
          <w:szCs w:val="20"/>
        </w:rPr>
        <w:t xml:space="preserve">), C Boxplot of “in-house TCGA analysis” of CUL3 expression in normal versus DLBC tumor samples, D Survival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kaplan-meier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plot of low versus high CUL3 expression of “in-house TCGA analysis”, and E Principal component analysis (PCA) of normal, low an</w:t>
      </w:r>
      <w:r>
        <w:rPr>
          <w:rFonts w:ascii="Calibri" w:hAnsi="Calibri" w:cs="Calibri"/>
          <w:color w:val="000000"/>
          <w:sz w:val="20"/>
          <w:szCs w:val="20"/>
        </w:rPr>
        <w:t xml:space="preserve">d high CUL3 BRCA samples. The PCA values were calculated based on the VST transformed read counts from the raw data. Asterisks from the A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top</w:t>
      </w:r>
      <w:r>
        <w:rPr>
          <w:rFonts w:ascii="Calibri" w:hAnsi="Calibri" w:cs="Calibri"/>
          <w:color w:val="000000"/>
          <w:sz w:val="20"/>
          <w:szCs w:val="20"/>
        </w:rPr>
        <w:t xml:space="preserve"> were calculated and retrieved as values from UALCAN while the authors denoted the asterisks as follows: *0.0332, *</w:t>
      </w:r>
      <w:r>
        <w:rPr>
          <w:rFonts w:ascii="Calibri" w:hAnsi="Calibri" w:cs="Calibri"/>
          <w:color w:val="000000"/>
          <w:sz w:val="20"/>
          <w:szCs w:val="20"/>
        </w:rPr>
        <w:t xml:space="preserve">*0.0021, ***0.0002, ****&lt;0.0001. Asterisks from the A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down </w:t>
      </w:r>
      <w:r>
        <w:rPr>
          <w:rFonts w:ascii="Calibri" w:hAnsi="Calibri" w:cs="Calibri"/>
          <w:color w:val="000000"/>
          <w:sz w:val="20"/>
          <w:szCs w:val="20"/>
        </w:rPr>
        <w:t>were calculated and retrieved directly from GEPIA2.</w:t>
      </w:r>
    </w:p>
    <w:p w:rsidR="004062A6" w:rsidRDefault="004062A6">
      <w:pPr>
        <w:spacing w:after="240" w:line="480" w:lineRule="auto"/>
        <w:ind w:left="360"/>
      </w:pPr>
    </w:p>
    <w:p w:rsidR="004062A6" w:rsidRDefault="00937ACC">
      <w:pPr>
        <w:pStyle w:val="NormalWeb"/>
        <w:spacing w:beforeAutospacing="0" w:afterAutospacing="0" w:line="480" w:lineRule="auto"/>
        <w:ind w:left="360"/>
        <w:rPr>
          <w:lang w:val="en-GB"/>
        </w:rPr>
      </w:pPr>
      <w:r>
        <w:rPr>
          <w:noProof/>
          <w:lang w:val="en-IN" w:eastAsia="en-IN"/>
        </w:rPr>
        <w:drawing>
          <wp:inline distT="0" distB="0" distL="114300" distR="114300">
            <wp:extent cx="5260975" cy="4599305"/>
            <wp:effectExtent l="0" t="0" r="9525" b="10795"/>
            <wp:docPr id="1" name="Picture 1" descr="Supplementary Fig2_relative to Fig3co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upplementary Fig2_relative to Fig3comp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</w:pPr>
      <w:r>
        <w:rPr>
          <w:rFonts w:ascii="Calibri" w:hAnsi="Calibri" w:cs="Calibri"/>
          <w:color w:val="000000"/>
          <w:sz w:val="20"/>
          <w:szCs w:val="20"/>
        </w:rPr>
        <w:t xml:space="preserve">Supplementary Fig S2.  Co-expression correlation analysis of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CUL3 </w:t>
      </w:r>
      <w:r>
        <w:rPr>
          <w:rFonts w:ascii="Calibri" w:hAnsi="Calibri" w:cs="Calibri"/>
          <w:color w:val="000000"/>
          <w:sz w:val="20"/>
          <w:szCs w:val="20"/>
        </w:rPr>
        <w:t>and different genes depicted in the graphs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XRCC5, AFTPH, MRPL44, XRCC4, XRC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 xml:space="preserve">C6, GAPDH, B2M, PPIB, ACTB, </w:t>
      </w:r>
      <w:proofErr w:type="gramStart"/>
      <w:r>
        <w:rPr>
          <w:rFonts w:ascii="Calibri" w:hAnsi="Calibri" w:cs="Calibri"/>
          <w:i/>
          <w:iCs/>
          <w:color w:val="000000"/>
          <w:sz w:val="20"/>
          <w:szCs w:val="20"/>
        </w:rPr>
        <w:t>TUBB2A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), plots retrieved from (A) UALCAN, (B) GEPIA2 and (C)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AnalyzeR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. Pearson’s correlations coefficient R, and p-values are depicted on each graph and were calculated from the respective data portals.</w:t>
      </w:r>
    </w:p>
    <w:p w:rsidR="004062A6" w:rsidRDefault="004062A6">
      <w:pPr>
        <w:spacing w:after="240" w:line="480" w:lineRule="auto"/>
        <w:ind w:left="360"/>
      </w:pPr>
    </w:p>
    <w:p w:rsidR="004062A6" w:rsidRDefault="00937ACC">
      <w:pPr>
        <w:pStyle w:val="NormalWeb"/>
        <w:spacing w:beforeAutospacing="0" w:afterAutospacing="0" w:line="480" w:lineRule="auto"/>
        <w:ind w:left="360"/>
      </w:pPr>
      <w:r>
        <w:rPr>
          <w:noProof/>
          <w:lang w:val="en-IN" w:eastAsia="en-IN"/>
        </w:rPr>
        <w:drawing>
          <wp:inline distT="0" distB="0" distL="0" distR="0">
            <wp:extent cx="5268595" cy="5444490"/>
            <wp:effectExtent l="0" t="0" r="8255" b="3810"/>
            <wp:docPr id="813654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5446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44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</w:pPr>
      <w:r>
        <w:rPr>
          <w:rFonts w:ascii="Calibri" w:hAnsi="Calibri" w:cs="Calibri"/>
          <w:color w:val="000000"/>
          <w:sz w:val="20"/>
          <w:szCs w:val="20"/>
        </w:rPr>
        <w:t xml:space="preserve">Supplementary Fig S3. A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left</w:t>
      </w:r>
      <w:r>
        <w:rPr>
          <w:rFonts w:ascii="Calibri" w:hAnsi="Calibri" w:cs="Calibri"/>
          <w:color w:val="000000"/>
          <w:sz w:val="20"/>
          <w:szCs w:val="20"/>
        </w:rPr>
        <w:t xml:space="preserve"> Colony formation assay on U2OS cell line after overexpression of MYC-HIS (empty) vector and MYC-CUL3 as well as treatment with 100ng/ml NCS and 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Right</w:t>
      </w:r>
      <w:r>
        <w:rPr>
          <w:rFonts w:ascii="Calibri" w:hAnsi="Calibri" w:cs="Calibri"/>
          <w:color w:val="000000"/>
          <w:sz w:val="20"/>
          <w:szCs w:val="20"/>
        </w:rPr>
        <w:t xml:space="preserve"> quantification of colonies and statistical analysis using Tukey’s two-way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Ano</w:t>
      </w:r>
      <w:r>
        <w:rPr>
          <w:rFonts w:ascii="Calibri" w:hAnsi="Calibri" w:cs="Calibri"/>
          <w:color w:val="000000"/>
          <w:sz w:val="20"/>
          <w:szCs w:val="20"/>
        </w:rPr>
        <w:t>va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 of three biological replicates, B Immunoblotting analysis showing the induction of  two markers of DSB induction (pATM-S1981 and γH2AX) after 2, 4 and 8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Gy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of IR at the indicated time points, C Immunoblotting analysis after DOX treatment in U2OS-sh</w:t>
      </w:r>
      <w:r>
        <w:rPr>
          <w:rFonts w:ascii="Calibri" w:hAnsi="Calibri" w:cs="Calibri"/>
          <w:color w:val="000000"/>
          <w:sz w:val="20"/>
          <w:szCs w:val="20"/>
        </w:rPr>
        <w:t>CUL3 cell line and overexpression of CUL3, D Relative mRNA expression of CUL3 after DOX-induced knock-down, E Immunoblotting analysis of siRNA transient transfection against CUL3 using 25nM and 40nM concentration, and F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Cell proliferation assay after DOX-i</w:t>
      </w:r>
      <w:r>
        <w:rPr>
          <w:rFonts w:ascii="Calibri" w:hAnsi="Calibri" w:cs="Calibri"/>
          <w:color w:val="000000"/>
          <w:sz w:val="20"/>
          <w:szCs w:val="20"/>
        </w:rPr>
        <w:t xml:space="preserve">nduced shCUL3 knock-down and increasing IR dosages in U2OS-shCUL3 cell line 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and G </w:t>
      </w:r>
      <w:r>
        <w:rPr>
          <w:rFonts w:ascii="Calibri" w:hAnsi="Calibri" w:cs="Calibri"/>
          <w:color w:val="000000"/>
          <w:sz w:val="20"/>
          <w:szCs w:val="20"/>
        </w:rPr>
        <w:t>Principal component analysis (PCA) of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left</w:t>
      </w:r>
      <w:r>
        <w:rPr>
          <w:rFonts w:ascii="Calibri" w:hAnsi="Calibri" w:cs="Calibri"/>
          <w:color w:val="000000"/>
          <w:sz w:val="20"/>
          <w:szCs w:val="20"/>
        </w:rPr>
        <w:t>) normal, Luminal A and Basal BRCA types and (</w:t>
      </w:r>
      <w:r>
        <w:rPr>
          <w:rFonts w:ascii="Calibri" w:hAnsi="Calibri" w:cs="Calibri"/>
          <w:i/>
          <w:iCs/>
          <w:color w:val="000000"/>
          <w:sz w:val="20"/>
          <w:szCs w:val="20"/>
        </w:rPr>
        <w:t>right</w:t>
      </w:r>
      <w:r>
        <w:rPr>
          <w:rFonts w:ascii="Calibri" w:hAnsi="Calibri" w:cs="Calibri"/>
          <w:color w:val="000000"/>
          <w:sz w:val="20"/>
          <w:szCs w:val="20"/>
        </w:rPr>
        <w:t xml:space="preserve">) normal, low and high CUL3 Luminal A and low and high Basal BRCA samples. The </w:t>
      </w:r>
      <w:r>
        <w:rPr>
          <w:rFonts w:ascii="Calibri" w:hAnsi="Calibri" w:cs="Calibri"/>
          <w:color w:val="000000"/>
          <w:sz w:val="20"/>
          <w:szCs w:val="20"/>
        </w:rPr>
        <w:t>PCA values were calculated based on the VST transformed read counts from the raw data.</w:t>
      </w:r>
      <w:r>
        <w:rPr>
          <w:rFonts w:ascii="Calibri" w:hAnsi="Calibri" w:cs="Calibri"/>
          <w:color w:val="000000"/>
          <w:sz w:val="20"/>
          <w:szCs w:val="20"/>
        </w:rPr>
        <w:t xml:space="preserve"> All quantifications were performed using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GraphPad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Prism 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 xml:space="preserve">version </w:t>
      </w:r>
      <w:r>
        <w:rPr>
          <w:rFonts w:ascii="Calibri" w:hAnsi="Calibri" w:cs="Calibri"/>
          <w:color w:val="000000"/>
          <w:sz w:val="20"/>
          <w:szCs w:val="20"/>
        </w:rPr>
        <w:t>8.4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>.3</w:t>
      </w:r>
      <w:r>
        <w:rPr>
          <w:rFonts w:ascii="Calibri" w:hAnsi="Calibri" w:cs="Calibri"/>
          <w:color w:val="000000"/>
          <w:sz w:val="20"/>
          <w:szCs w:val="20"/>
        </w:rPr>
        <w:t xml:space="preserve"> software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 xml:space="preserve"> (</w:t>
      </w:r>
      <w:r>
        <w:rPr>
          <w:rFonts w:ascii="Calibri" w:hAnsi="Calibri"/>
          <w:color w:val="000000"/>
          <w:sz w:val="20"/>
          <w:szCs w:val="20"/>
          <w:lang w:val="en-GB"/>
        </w:rPr>
        <w:t>https://www.graphpad.com/)</w:t>
      </w:r>
      <w:r>
        <w:rPr>
          <w:rFonts w:ascii="Calibri" w:hAnsi="Calibri" w:cs="Calibri"/>
          <w:color w:val="000000"/>
          <w:sz w:val="20"/>
          <w:szCs w:val="20"/>
        </w:rPr>
        <w:t xml:space="preserve"> and Tukey’s test two-way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Anova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was applied for statistical analysis for which p-value was considered significant as follows:  *0.0332, **0.0021, ***0.0002, ****&lt;0.0001</w:t>
      </w:r>
    </w:p>
    <w:p w:rsidR="004062A6" w:rsidRDefault="004062A6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noProof/>
          <w:color w:val="000000"/>
          <w:sz w:val="20"/>
          <w:szCs w:val="20"/>
          <w:lang w:val="en-IN" w:eastAsia="en-IN"/>
        </w:rPr>
        <w:drawing>
          <wp:inline distT="0" distB="0" distL="0" distR="0">
            <wp:extent cx="5268595" cy="5015230"/>
            <wp:effectExtent l="0" t="0" r="8255" b="0"/>
            <wp:docPr id="19138016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01649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01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Supplementary Fig S4. A Microscopic images of wound healing assay</w:t>
      </w:r>
      <w:r>
        <w:rPr>
          <w:rFonts w:ascii="Calibri" w:hAnsi="Calibri" w:cs="Calibri"/>
          <w:color w:val="000000"/>
          <w:sz w:val="20"/>
          <w:szCs w:val="20"/>
        </w:rPr>
        <w:t xml:space="preserve"> in MDA-MB-231 cell</w:t>
      </w:r>
      <w:r>
        <w:rPr>
          <w:rFonts w:ascii="Calibri" w:hAnsi="Calibri" w:cs="Calibri"/>
          <w:color w:val="000000"/>
          <w:sz w:val="20"/>
          <w:szCs w:val="20"/>
        </w:rPr>
        <w:t>s and B in MCF-7 cell line after siCUL3 knock-down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and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neoc</w:t>
      </w:r>
      <w:r>
        <w:rPr>
          <w:rFonts w:ascii="Calibri" w:hAnsi="Calibri" w:cs="Calibri"/>
          <w:color w:val="000000"/>
          <w:sz w:val="20"/>
          <w:szCs w:val="20"/>
        </w:rPr>
        <w:t>arzinostatin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(NCS) treatment </w:t>
      </w:r>
      <w:r>
        <w:rPr>
          <w:rFonts w:ascii="Calibri" w:hAnsi="Calibri" w:cs="Calibri"/>
          <w:color w:val="000000"/>
          <w:sz w:val="20"/>
          <w:szCs w:val="20"/>
        </w:rPr>
        <w:t>and bottom quantification of the wounded area</w:t>
      </w:r>
      <w:r>
        <w:rPr>
          <w:rFonts w:ascii="Calibri" w:hAnsi="Calibri" w:cs="Calibri"/>
          <w:color w:val="000000"/>
          <w:sz w:val="20"/>
          <w:szCs w:val="20"/>
        </w:rPr>
        <w:t xml:space="preserve"> and CUL3 silencing efficiency measured by qPCR,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C</w:t>
      </w:r>
      <w:r>
        <w:rPr>
          <w:rFonts w:ascii="Calibri" w:hAnsi="Calibri" w:cs="Calibri"/>
          <w:color w:val="000000"/>
          <w:sz w:val="20"/>
          <w:szCs w:val="20"/>
        </w:rPr>
        <w:t xml:space="preserve"> colony formation assay</w:t>
      </w:r>
      <w:r>
        <w:rPr>
          <w:rFonts w:ascii="Calibri" w:hAnsi="Calibri" w:cs="Calibri"/>
          <w:color w:val="000000"/>
          <w:sz w:val="20"/>
          <w:szCs w:val="20"/>
        </w:rPr>
        <w:t xml:space="preserve"> of MD</w:t>
      </w:r>
      <w:r>
        <w:rPr>
          <w:rFonts w:ascii="Calibri" w:hAnsi="Calibri" w:cs="Calibri"/>
          <w:color w:val="000000"/>
          <w:sz w:val="20"/>
          <w:szCs w:val="20"/>
        </w:rPr>
        <w:t>A</w:t>
      </w:r>
      <w:r>
        <w:rPr>
          <w:rFonts w:ascii="Calibri" w:hAnsi="Calibri" w:cs="Calibri"/>
          <w:color w:val="000000"/>
          <w:sz w:val="20"/>
          <w:szCs w:val="20"/>
        </w:rPr>
        <w:t>-MB-231 cells</w:t>
      </w:r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and D in MCF-7 cells </w:t>
      </w:r>
      <w:r>
        <w:rPr>
          <w:rFonts w:ascii="Calibri" w:hAnsi="Calibri" w:cs="Calibri"/>
          <w:color w:val="000000"/>
          <w:sz w:val="20"/>
          <w:szCs w:val="20"/>
        </w:rPr>
        <w:t xml:space="preserve">and </w:t>
      </w:r>
      <w:r>
        <w:rPr>
          <w:rFonts w:ascii="Calibri" w:hAnsi="Calibri" w:cs="Calibri"/>
          <w:color w:val="000000"/>
          <w:sz w:val="20"/>
          <w:szCs w:val="20"/>
        </w:rPr>
        <w:t>quantification on the right</w:t>
      </w:r>
    </w:p>
    <w:p w:rsidR="004062A6" w:rsidRDefault="004062A6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noProof/>
          <w:color w:val="000000"/>
          <w:sz w:val="20"/>
          <w:szCs w:val="20"/>
          <w:lang w:val="en-IN" w:eastAsia="en-IN"/>
        </w:rPr>
        <w:drawing>
          <wp:inline distT="0" distB="0" distL="0" distR="0">
            <wp:extent cx="5268595" cy="6021070"/>
            <wp:effectExtent l="0" t="0" r="8255" b="0"/>
            <wp:docPr id="18728852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85266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02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  <w:r w:rsidRPr="00937ACC">
        <w:rPr>
          <w:rFonts w:ascii="Calibri" w:hAnsi="Calibri" w:cs="Calibri"/>
          <w:color w:val="000000"/>
          <w:sz w:val="20"/>
          <w:szCs w:val="20"/>
        </w:rPr>
        <w:t>Supplementary Fig S5. A</w:t>
      </w:r>
      <w:r w:rsidRPr="00937ACC"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937ACC">
        <w:rPr>
          <w:rFonts w:ascii="Calibri" w:hAnsi="Calibri" w:cs="Calibri"/>
          <w:color w:val="000000"/>
          <w:sz w:val="20"/>
          <w:szCs w:val="20"/>
        </w:rPr>
        <w:t xml:space="preserve">Representative images of CUL3 </w:t>
      </w:r>
      <w:r w:rsidRPr="00937ACC">
        <w:rPr>
          <w:rFonts w:ascii="Calibri" w:hAnsi="Calibri" w:cs="Calibri"/>
          <w:color w:val="000000"/>
          <w:sz w:val="20"/>
          <w:szCs w:val="20"/>
        </w:rPr>
        <w:t>and RNAPII localization in MDA-MB-231 and MCF-7 cells after immunostaining</w:t>
      </w:r>
      <w:r w:rsidRPr="00937ACC">
        <w:rPr>
          <w:rFonts w:ascii="Calibri" w:hAnsi="Calibri" w:cs="Calibri"/>
          <w:color w:val="000000"/>
          <w:sz w:val="20"/>
          <w:szCs w:val="20"/>
        </w:rPr>
        <w:t xml:space="preserve">, B Representative images of </w:t>
      </w:r>
      <w:r w:rsidRPr="00937ACC">
        <w:rPr>
          <w:rFonts w:ascii="Calibri" w:hAnsi="Calibri" w:cs="Calibri"/>
          <w:color w:val="000000"/>
          <w:sz w:val="20"/>
          <w:szCs w:val="20"/>
        </w:rPr>
        <w:t>γ</w:t>
      </w:r>
      <w:r w:rsidRPr="00937ACC">
        <w:rPr>
          <w:rFonts w:ascii="Calibri" w:hAnsi="Calibri" w:cs="Calibri"/>
          <w:color w:val="000000"/>
          <w:sz w:val="20"/>
          <w:szCs w:val="20"/>
        </w:rPr>
        <w:t xml:space="preserve">H2AX and 53BP1 co-localization after 30min or 2h post </w:t>
      </w:r>
      <w:proofErr w:type="spellStart"/>
      <w:r w:rsidRPr="00937ACC">
        <w:rPr>
          <w:rFonts w:ascii="Calibri" w:hAnsi="Calibri" w:cs="Calibri"/>
          <w:color w:val="000000"/>
          <w:sz w:val="20"/>
          <w:szCs w:val="20"/>
        </w:rPr>
        <w:t>neocarzinostatin</w:t>
      </w:r>
      <w:proofErr w:type="spellEnd"/>
      <w:r w:rsidRPr="00937ACC">
        <w:rPr>
          <w:rFonts w:ascii="Calibri" w:hAnsi="Calibri" w:cs="Calibri"/>
          <w:color w:val="000000"/>
          <w:sz w:val="20"/>
          <w:szCs w:val="20"/>
        </w:rPr>
        <w:t xml:space="preserve"> (NCS) treatment</w:t>
      </w:r>
      <w:r>
        <w:rPr>
          <w:rFonts w:ascii="Calibri" w:hAnsi="Calibri" w:cs="Calibri"/>
          <w:color w:val="000000"/>
          <w:sz w:val="20"/>
          <w:szCs w:val="20"/>
        </w:rPr>
        <w:t xml:space="preserve"> after immunostaining MDA-MB-231 and MCF-</w:t>
      </w:r>
      <w:r>
        <w:rPr>
          <w:rFonts w:ascii="Calibri" w:hAnsi="Calibri" w:cs="Calibri"/>
          <w:color w:val="000000"/>
          <w:sz w:val="20"/>
          <w:szCs w:val="20"/>
        </w:rPr>
        <w:t xml:space="preserve">7 cells (DAPI counterstaining nuclei) and C </w:t>
      </w:r>
      <w:r>
        <w:rPr>
          <w:rFonts w:ascii="Calibri" w:hAnsi="Calibri" w:cs="Calibri"/>
          <w:color w:val="000000"/>
          <w:sz w:val="20"/>
          <w:szCs w:val="20"/>
        </w:rPr>
        <w:t xml:space="preserve">CUL3 expression and localization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localization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in breast tissues of luminal A (top) and TNBC (bottom) after immunohistochemistry (IHC) with </w:t>
      </w:r>
      <w:r>
        <w:rPr>
          <w:rFonts w:ascii="Calibri" w:hAnsi="Calibri" w:cs="Calibri"/>
          <w:color w:val="000000"/>
          <w:sz w:val="20"/>
          <w:szCs w:val="20"/>
        </w:rPr>
        <w:t>DAB chromogen staining (brown; staining CUL3) and Hematoxylin (blue; counter staining nuclei)</w:t>
      </w:r>
      <w:r>
        <w:rPr>
          <w:rFonts w:ascii="Calibri" w:hAnsi="Calibri" w:cs="Calibri"/>
          <w:color w:val="000000"/>
          <w:sz w:val="20"/>
          <w:szCs w:val="20"/>
        </w:rPr>
        <w:t xml:space="preserve"> with</w:t>
      </w:r>
      <w:r>
        <w:rPr>
          <w:rFonts w:ascii="Calibri" w:hAnsi="Calibri" w:cs="Calibri"/>
          <w:color w:val="000000"/>
          <w:sz w:val="20"/>
          <w:szCs w:val="20"/>
        </w:rPr>
        <w:t xml:space="preserve"> parallel Hematoxylin and Eosin (H&amp;E) staining of the same tissue</w:t>
      </w:r>
    </w:p>
    <w:p w:rsidR="004062A6" w:rsidRDefault="004062A6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4062A6" w:rsidRDefault="00937AC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IN" w:eastAsia="en-IN"/>
        </w:rPr>
        <w:drawing>
          <wp:inline distT="0" distB="0" distL="0" distR="0">
            <wp:extent cx="5268595" cy="3467735"/>
            <wp:effectExtent l="0" t="0" r="8255" b="0"/>
            <wp:docPr id="1649584785" name="Picture 1" descr="A close-up of a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584785" name="Picture 1" descr="A close-up of a li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A6" w:rsidRPr="00937ACC" w:rsidRDefault="00937ACC" w:rsidP="00937ACC">
      <w:pPr>
        <w:spacing w:line="48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>
        <w:rPr>
          <w:rFonts w:ascii="Calibri" w:eastAsia="Times New Roman" w:hAnsi="Calibri" w:cs="Calibri"/>
          <w:color w:val="000000"/>
          <w:lang w:val="en-GB" w:eastAsia="en-GB"/>
        </w:rPr>
        <w:t xml:space="preserve">Supplementary Table S1. Patient data used in this study. Molecular subtype, Histologic </w:t>
      </w:r>
      <w:r>
        <w:rPr>
          <w:rFonts w:ascii="Calibri" w:eastAsia="Times New Roman" w:hAnsi="Calibri" w:cs="Calibri"/>
          <w:color w:val="000000"/>
          <w:lang w:val="en-GB" w:eastAsia="en-GB"/>
        </w:rPr>
        <w:t xml:space="preserve">type and grade, Primary </w:t>
      </w:r>
      <w:proofErr w:type="spellStart"/>
      <w:r>
        <w:rPr>
          <w:rFonts w:ascii="Calibri" w:eastAsia="Times New Roman" w:hAnsi="Calibri" w:cs="Calibri"/>
          <w:color w:val="000000"/>
          <w:lang w:val="en-GB" w:eastAsia="en-GB"/>
        </w:rPr>
        <w:t>Tumor</w:t>
      </w:r>
      <w:proofErr w:type="spellEnd"/>
      <w:r>
        <w:rPr>
          <w:rFonts w:ascii="Calibri" w:eastAsia="Times New Roman" w:hAnsi="Calibri" w:cs="Calibri"/>
          <w:color w:val="000000"/>
          <w:lang w:val="en-GB" w:eastAsia="en-GB"/>
        </w:rPr>
        <w:t xml:space="preserve"> (T) and Regional lymph nodes (N) location are depicted on the table above.</w:t>
      </w:r>
    </w:p>
    <w:p w:rsidR="004062A6" w:rsidRPr="00937ACC" w:rsidRDefault="004062A6">
      <w:pPr>
        <w:pStyle w:val="NormalWeb"/>
        <w:spacing w:beforeAutospacing="0" w:afterAutospacing="0" w:line="480" w:lineRule="auto"/>
        <w:ind w:left="36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Supplementary Video 1.</w:t>
      </w:r>
    </w:p>
    <w:p w:rsidR="004062A6" w:rsidRDefault="00937ACC">
      <w:pPr>
        <w:pStyle w:val="NormalWeb"/>
        <w:spacing w:beforeAutospacing="0" w:afterAutospacing="0" w:line="480" w:lineRule="auto"/>
        <w:ind w:left="360"/>
        <w:jc w:val="both"/>
      </w:pPr>
      <w:r>
        <w:rPr>
          <w:rFonts w:ascii="Calibri" w:hAnsi="Calibri" w:cs="Calibri"/>
          <w:color w:val="000000"/>
          <w:sz w:val="20"/>
          <w:szCs w:val="20"/>
        </w:rPr>
        <w:t xml:space="preserve">Monitoring survival of U2OS- shCUL3 cell line in 6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days time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-course using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IncuCyte</w:t>
      </w:r>
      <w:proofErr w:type="spellEnd"/>
      <w:r>
        <w:rPr>
          <w:rFonts w:ascii="Calibri" w:hAnsi="Calibri" w:cs="Calibri"/>
          <w:color w:val="000000"/>
          <w:sz w:val="20"/>
          <w:szCs w:val="20"/>
          <w:lang w:val="en-GB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 xml:space="preserve">S3 Live-Cell Analysis System. Both panels </w:t>
      </w:r>
      <w:r>
        <w:rPr>
          <w:rFonts w:ascii="Calibri" w:hAnsi="Calibri" w:cs="Calibri"/>
          <w:color w:val="000000"/>
          <w:sz w:val="20"/>
          <w:szCs w:val="20"/>
        </w:rPr>
        <w:t>show cells treated with 1</w:t>
      </w:r>
      <w:r>
        <w:rPr>
          <w:rFonts w:ascii="Calibri" w:hAnsi="Calibri" w:cs="Calibri"/>
          <w:color w:val="000000"/>
          <w:sz w:val="20"/>
          <w:szCs w:val="20"/>
          <w:lang w:val="el-GR"/>
        </w:rPr>
        <w:t>μ</w:t>
      </w:r>
      <w:r>
        <w:rPr>
          <w:rFonts w:ascii="Calibri" w:hAnsi="Calibri" w:cs="Calibri"/>
          <w:color w:val="000000"/>
          <w:sz w:val="20"/>
          <w:szCs w:val="20"/>
          <w:lang w:val="hu-HU"/>
        </w:rPr>
        <w:t>g</w:t>
      </w:r>
      <w:r>
        <w:rPr>
          <w:rFonts w:ascii="Calibri" w:hAnsi="Calibri" w:cs="Calibri"/>
          <w:color w:val="000000"/>
          <w:sz w:val="20"/>
          <w:szCs w:val="20"/>
          <w:lang w:val="en-GB"/>
        </w:rPr>
        <w:t xml:space="preserve">/ml </w:t>
      </w:r>
      <w:r>
        <w:rPr>
          <w:rFonts w:ascii="Calibri" w:hAnsi="Calibri" w:cs="Calibri"/>
          <w:color w:val="000000"/>
          <w:sz w:val="20"/>
          <w:szCs w:val="20"/>
        </w:rPr>
        <w:t>DOX, left panel shows cells with no irradiation and right panel cells with 8Gy IR.</w:t>
      </w:r>
      <w:bookmarkEnd w:id="0"/>
    </w:p>
    <w:sectPr w:rsidR="004062A6" w:rsidSect="00937AC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2A3E01"/>
    <w:rsid w:val="00005CDA"/>
    <w:rsid w:val="00011524"/>
    <w:rsid w:val="000205E0"/>
    <w:rsid w:val="00042712"/>
    <w:rsid w:val="0005741C"/>
    <w:rsid w:val="00066A59"/>
    <w:rsid w:val="000767F8"/>
    <w:rsid w:val="000A44C0"/>
    <w:rsid w:val="000A7DD0"/>
    <w:rsid w:val="000F6C83"/>
    <w:rsid w:val="00102B18"/>
    <w:rsid w:val="00105D94"/>
    <w:rsid w:val="001142C5"/>
    <w:rsid w:val="0012789D"/>
    <w:rsid w:val="00157278"/>
    <w:rsid w:val="001B1C70"/>
    <w:rsid w:val="001D0335"/>
    <w:rsid w:val="001E1301"/>
    <w:rsid w:val="001E44B0"/>
    <w:rsid w:val="001E7DEB"/>
    <w:rsid w:val="00203C35"/>
    <w:rsid w:val="002244A2"/>
    <w:rsid w:val="002252CB"/>
    <w:rsid w:val="00227BD0"/>
    <w:rsid w:val="00240E89"/>
    <w:rsid w:val="00273A37"/>
    <w:rsid w:val="00274017"/>
    <w:rsid w:val="0027727E"/>
    <w:rsid w:val="002A1BBF"/>
    <w:rsid w:val="002A6854"/>
    <w:rsid w:val="002F1504"/>
    <w:rsid w:val="003003A7"/>
    <w:rsid w:val="00320123"/>
    <w:rsid w:val="003258D0"/>
    <w:rsid w:val="00346102"/>
    <w:rsid w:val="0035373C"/>
    <w:rsid w:val="00355188"/>
    <w:rsid w:val="003605A6"/>
    <w:rsid w:val="00361B84"/>
    <w:rsid w:val="00362AA5"/>
    <w:rsid w:val="0039025F"/>
    <w:rsid w:val="003A16E6"/>
    <w:rsid w:val="003A74F6"/>
    <w:rsid w:val="003B5D05"/>
    <w:rsid w:val="003C1FC8"/>
    <w:rsid w:val="003C3752"/>
    <w:rsid w:val="003C7403"/>
    <w:rsid w:val="003D281F"/>
    <w:rsid w:val="003D2DE5"/>
    <w:rsid w:val="003F0E66"/>
    <w:rsid w:val="004062A6"/>
    <w:rsid w:val="00414B43"/>
    <w:rsid w:val="00417BA7"/>
    <w:rsid w:val="004258A8"/>
    <w:rsid w:val="004316BB"/>
    <w:rsid w:val="004535F4"/>
    <w:rsid w:val="004564B1"/>
    <w:rsid w:val="00464C6A"/>
    <w:rsid w:val="00491213"/>
    <w:rsid w:val="004A4F2D"/>
    <w:rsid w:val="004B232F"/>
    <w:rsid w:val="004B7C93"/>
    <w:rsid w:val="004E25F5"/>
    <w:rsid w:val="004F3B95"/>
    <w:rsid w:val="004F4E89"/>
    <w:rsid w:val="0051650B"/>
    <w:rsid w:val="00521A83"/>
    <w:rsid w:val="00536499"/>
    <w:rsid w:val="00561AAF"/>
    <w:rsid w:val="00564B95"/>
    <w:rsid w:val="00570863"/>
    <w:rsid w:val="0057515D"/>
    <w:rsid w:val="005C3FC4"/>
    <w:rsid w:val="005C5B87"/>
    <w:rsid w:val="005C7A6A"/>
    <w:rsid w:val="005D4D12"/>
    <w:rsid w:val="005E13D6"/>
    <w:rsid w:val="005E4CA8"/>
    <w:rsid w:val="005E5886"/>
    <w:rsid w:val="006018CF"/>
    <w:rsid w:val="006131FB"/>
    <w:rsid w:val="0061381F"/>
    <w:rsid w:val="00614126"/>
    <w:rsid w:val="0062076E"/>
    <w:rsid w:val="00654451"/>
    <w:rsid w:val="0067375D"/>
    <w:rsid w:val="00674D55"/>
    <w:rsid w:val="006801C6"/>
    <w:rsid w:val="00681BE8"/>
    <w:rsid w:val="00687FC6"/>
    <w:rsid w:val="006A0A33"/>
    <w:rsid w:val="006A64F8"/>
    <w:rsid w:val="006B0981"/>
    <w:rsid w:val="006C3BB3"/>
    <w:rsid w:val="006F365F"/>
    <w:rsid w:val="0072257E"/>
    <w:rsid w:val="00726A9E"/>
    <w:rsid w:val="00736695"/>
    <w:rsid w:val="0076042F"/>
    <w:rsid w:val="0076658F"/>
    <w:rsid w:val="00776005"/>
    <w:rsid w:val="007A23FD"/>
    <w:rsid w:val="007A634A"/>
    <w:rsid w:val="007B1AC6"/>
    <w:rsid w:val="007E2E57"/>
    <w:rsid w:val="00836660"/>
    <w:rsid w:val="00851340"/>
    <w:rsid w:val="00890A88"/>
    <w:rsid w:val="008B0E0D"/>
    <w:rsid w:val="008B13F0"/>
    <w:rsid w:val="00900762"/>
    <w:rsid w:val="00903362"/>
    <w:rsid w:val="00911888"/>
    <w:rsid w:val="00920EED"/>
    <w:rsid w:val="00937ACC"/>
    <w:rsid w:val="00942BD2"/>
    <w:rsid w:val="00942F71"/>
    <w:rsid w:val="00964CD5"/>
    <w:rsid w:val="009720FF"/>
    <w:rsid w:val="009A26E3"/>
    <w:rsid w:val="009C12E1"/>
    <w:rsid w:val="009E296E"/>
    <w:rsid w:val="009E606C"/>
    <w:rsid w:val="00A04707"/>
    <w:rsid w:val="00A2458A"/>
    <w:rsid w:val="00A766B0"/>
    <w:rsid w:val="00AB5CC6"/>
    <w:rsid w:val="00AC087C"/>
    <w:rsid w:val="00AC4448"/>
    <w:rsid w:val="00AC7475"/>
    <w:rsid w:val="00AE1CF0"/>
    <w:rsid w:val="00B10E55"/>
    <w:rsid w:val="00B118B3"/>
    <w:rsid w:val="00B55F2D"/>
    <w:rsid w:val="00B624BE"/>
    <w:rsid w:val="00B66D7F"/>
    <w:rsid w:val="00B710FC"/>
    <w:rsid w:val="00B87DCD"/>
    <w:rsid w:val="00B95FB2"/>
    <w:rsid w:val="00B97B49"/>
    <w:rsid w:val="00BA4B6C"/>
    <w:rsid w:val="00BD5762"/>
    <w:rsid w:val="00BE7D44"/>
    <w:rsid w:val="00C06B64"/>
    <w:rsid w:val="00C10BFA"/>
    <w:rsid w:val="00C36B67"/>
    <w:rsid w:val="00C55BD2"/>
    <w:rsid w:val="00C81B02"/>
    <w:rsid w:val="00C84697"/>
    <w:rsid w:val="00C96881"/>
    <w:rsid w:val="00CA184A"/>
    <w:rsid w:val="00CA51C1"/>
    <w:rsid w:val="00CC12F5"/>
    <w:rsid w:val="00CC7A8A"/>
    <w:rsid w:val="00CD0302"/>
    <w:rsid w:val="00D162C1"/>
    <w:rsid w:val="00D16E8D"/>
    <w:rsid w:val="00D4155D"/>
    <w:rsid w:val="00D424BE"/>
    <w:rsid w:val="00D60B98"/>
    <w:rsid w:val="00D93A57"/>
    <w:rsid w:val="00D97711"/>
    <w:rsid w:val="00DA2175"/>
    <w:rsid w:val="00DA4A15"/>
    <w:rsid w:val="00DB2D00"/>
    <w:rsid w:val="00DB2E78"/>
    <w:rsid w:val="00DF4DB3"/>
    <w:rsid w:val="00E10898"/>
    <w:rsid w:val="00E12481"/>
    <w:rsid w:val="00E344AE"/>
    <w:rsid w:val="00E43CCB"/>
    <w:rsid w:val="00E515EB"/>
    <w:rsid w:val="00E66692"/>
    <w:rsid w:val="00E704DF"/>
    <w:rsid w:val="00EA070C"/>
    <w:rsid w:val="00EB260A"/>
    <w:rsid w:val="00EB3838"/>
    <w:rsid w:val="00EC4620"/>
    <w:rsid w:val="00EC5A32"/>
    <w:rsid w:val="00F103DE"/>
    <w:rsid w:val="00F13846"/>
    <w:rsid w:val="00F401D6"/>
    <w:rsid w:val="00F540F7"/>
    <w:rsid w:val="00FA4B9A"/>
    <w:rsid w:val="00FB721E"/>
    <w:rsid w:val="00FC4126"/>
    <w:rsid w:val="00FE56C6"/>
    <w:rsid w:val="01761231"/>
    <w:rsid w:val="022B497F"/>
    <w:rsid w:val="03EF22E5"/>
    <w:rsid w:val="07104D7C"/>
    <w:rsid w:val="072D44EA"/>
    <w:rsid w:val="08157E48"/>
    <w:rsid w:val="09E552B9"/>
    <w:rsid w:val="0DB85596"/>
    <w:rsid w:val="0E175FB4"/>
    <w:rsid w:val="0FDE6D58"/>
    <w:rsid w:val="11524677"/>
    <w:rsid w:val="11EE5093"/>
    <w:rsid w:val="12A52F59"/>
    <w:rsid w:val="12F55C91"/>
    <w:rsid w:val="13453CC6"/>
    <w:rsid w:val="14A45BED"/>
    <w:rsid w:val="16FB7141"/>
    <w:rsid w:val="16FE2D99"/>
    <w:rsid w:val="1A3503A5"/>
    <w:rsid w:val="1A6324F2"/>
    <w:rsid w:val="1AD25EC1"/>
    <w:rsid w:val="1D5E5A33"/>
    <w:rsid w:val="1F027827"/>
    <w:rsid w:val="206C52FE"/>
    <w:rsid w:val="218D5858"/>
    <w:rsid w:val="250003B4"/>
    <w:rsid w:val="25533C7E"/>
    <w:rsid w:val="25A209C7"/>
    <w:rsid w:val="2788146A"/>
    <w:rsid w:val="29076D0F"/>
    <w:rsid w:val="295173E5"/>
    <w:rsid w:val="2A3A3A40"/>
    <w:rsid w:val="2A9157C9"/>
    <w:rsid w:val="2C2C12E2"/>
    <w:rsid w:val="2C347894"/>
    <w:rsid w:val="2CAF5470"/>
    <w:rsid w:val="2D6D0895"/>
    <w:rsid w:val="2E260127"/>
    <w:rsid w:val="2E6853A8"/>
    <w:rsid w:val="2F437197"/>
    <w:rsid w:val="2FE64C20"/>
    <w:rsid w:val="30450E09"/>
    <w:rsid w:val="32A537E6"/>
    <w:rsid w:val="33773524"/>
    <w:rsid w:val="33A34F20"/>
    <w:rsid w:val="34A271CD"/>
    <w:rsid w:val="35460D25"/>
    <w:rsid w:val="3A0D5CD2"/>
    <w:rsid w:val="3A413EAE"/>
    <w:rsid w:val="3BC07730"/>
    <w:rsid w:val="3C3C35AF"/>
    <w:rsid w:val="3C5954C7"/>
    <w:rsid w:val="40612F57"/>
    <w:rsid w:val="435645EF"/>
    <w:rsid w:val="46ED3E6B"/>
    <w:rsid w:val="483A1108"/>
    <w:rsid w:val="4D2707F3"/>
    <w:rsid w:val="4D8B7BBD"/>
    <w:rsid w:val="4E3E00E7"/>
    <w:rsid w:val="5174086E"/>
    <w:rsid w:val="52642870"/>
    <w:rsid w:val="55E34F66"/>
    <w:rsid w:val="57135443"/>
    <w:rsid w:val="5B75221C"/>
    <w:rsid w:val="5C170E0D"/>
    <w:rsid w:val="5EDA6CAA"/>
    <w:rsid w:val="5F6429E8"/>
    <w:rsid w:val="610E031A"/>
    <w:rsid w:val="615225B4"/>
    <w:rsid w:val="638D24E1"/>
    <w:rsid w:val="642C241D"/>
    <w:rsid w:val="647F52EC"/>
    <w:rsid w:val="65AC2355"/>
    <w:rsid w:val="671230A7"/>
    <w:rsid w:val="69F20F61"/>
    <w:rsid w:val="6A6326E5"/>
    <w:rsid w:val="6BCF73A8"/>
    <w:rsid w:val="6CB672FD"/>
    <w:rsid w:val="6E441E8C"/>
    <w:rsid w:val="6E5135D0"/>
    <w:rsid w:val="6F5E3FBA"/>
    <w:rsid w:val="725A2317"/>
    <w:rsid w:val="72DC5B9D"/>
    <w:rsid w:val="743F42A0"/>
    <w:rsid w:val="74697886"/>
    <w:rsid w:val="75550D0E"/>
    <w:rsid w:val="76C50760"/>
    <w:rsid w:val="77550F53"/>
    <w:rsid w:val="792A3E01"/>
    <w:rsid w:val="79C329C3"/>
    <w:rsid w:val="7DA2519E"/>
    <w:rsid w:val="7DBB407F"/>
    <w:rsid w:val="7F0B7AFA"/>
    <w:rsid w:val="7F4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430F6F-066E-40D3-B215-97607B5E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LineNumber">
    <w:name w:val="line number"/>
    <w:basedOn w:val="DefaultParagraphFont"/>
    <w:qFormat/>
  </w:style>
  <w:style w:type="paragraph" w:styleId="NormalWeb">
    <w:name w:val="Normal (Web)"/>
    <w:uiPriority w:val="99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ListParagraph">
    <w:name w:val="List Paragraph"/>
    <w:basedOn w:val="Normal"/>
    <w:uiPriority w:val="99"/>
    <w:unhideWhenUsed/>
    <w:qFormat/>
    <w:pPr>
      <w:ind w:left="720"/>
      <w:contextualSpacing/>
    </w:p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lang w:val="en-US" w:eastAsia="zh-CN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lang w:val="en-US" w:eastAsia="zh-CN"/>
    </w:rPr>
  </w:style>
  <w:style w:type="paragraph" w:customStyle="1" w:styleId="Revision3">
    <w:name w:val="Revision3"/>
    <w:hidden/>
    <w:uiPriority w:val="99"/>
    <w:unhideWhenUsed/>
    <w:qFormat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F0216-1CD7-474B-BA47-AEB0C0D3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644</Words>
  <Characters>3707</Characters>
  <Application>Microsoft Office Word</Application>
  <DocSecurity>0</DocSecurity>
  <Lines>30</Lines>
  <Paragraphs>8</Paragraphs>
  <ScaleCrop>false</ScaleCrop>
  <Company>HP Inc.</Company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vasop</dc:creator>
  <cp:lastModifiedBy>Nithya R</cp:lastModifiedBy>
  <cp:revision>3</cp:revision>
  <cp:lastPrinted>2023-12-20T11:00:00Z</cp:lastPrinted>
  <dcterms:created xsi:type="dcterms:W3CDTF">2024-06-07T08:03:00Z</dcterms:created>
  <dcterms:modified xsi:type="dcterms:W3CDTF">2024-06-24T05:35:00Z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2057-12.2.0.17119</vt:lpwstr>
  </property>
  <property fmtid="{D5CDD505-2E9C-101B-9397-08002B2CF9AE}" pid="3" name="ICV">
    <vt:lpwstr>3CCCEBE6D1EC42AB9198427D8A80C871_13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http://www.zotero.org/styles/nature</vt:lpwstr>
  </property>
  <property fmtid="{D5CDD505-2E9C-101B-9397-08002B2CF9AE}" pid="6" name="Mendeley Unique User Id_1">
    <vt:lpwstr>797d422d-972c-32c4-8e22-8bd6c024c991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 11th edition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http://www.zotero.org/styles/american-sociological-association</vt:lpwstr>
  </property>
  <property fmtid="{D5CDD505-2E9C-101B-9397-08002B2CF9AE}" pid="12" name="Mendeley Recent Style Name 2_1">
    <vt:lpwstr>American Sociological Association 6th edition</vt:lpwstr>
  </property>
  <property fmtid="{D5CDD505-2E9C-101B-9397-08002B2CF9AE}" pid="13" name="Mendeley Recent Style Id 3_1">
    <vt:lpwstr>http://www.zotero.org/styles/chicago-author-date</vt:lpwstr>
  </property>
  <property fmtid="{D5CDD505-2E9C-101B-9397-08002B2CF9AE}" pid="14" name="Mendeley Recent Style Name 3_1">
    <vt:lpwstr>Chicago Manual of Style 17th edition (author-date)</vt:lpwstr>
  </property>
  <property fmtid="{D5CDD505-2E9C-101B-9397-08002B2CF9AE}" pid="15" name="Mendeley Recent Style Id 4_1">
    <vt:lpwstr>http://www.zotero.org/styles/harvard-cite-them-right</vt:lpwstr>
  </property>
  <property fmtid="{D5CDD505-2E9C-101B-9397-08002B2CF9AE}" pid="16" name="Mendeley Recent Style Name 4_1">
    <vt:lpwstr>Cite Them Right 11th edition - Harvard</vt:lpwstr>
  </property>
  <property fmtid="{D5CDD505-2E9C-101B-9397-08002B2CF9AE}" pid="17" name="Mendeley Recent Style Id 5_1">
    <vt:lpwstr>http://www.zotero.org/styles/ieee</vt:lpwstr>
  </property>
  <property fmtid="{D5CDD505-2E9C-101B-9397-08002B2CF9AE}" pid="18" name="Mendeley Recent Style Name 5_1">
    <vt:lpwstr>IEEE</vt:lpwstr>
  </property>
  <property fmtid="{D5CDD505-2E9C-101B-9397-08002B2CF9AE}" pid="19" name="Mendeley Recent Style Id 6_1">
    <vt:lpwstr>http://www.zotero.org/styles/modern-humanities-research-association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Id 7_1">
    <vt:lpwstr>http://www.zotero.org/styles/modern-language-association</vt:lpwstr>
  </property>
  <property fmtid="{D5CDD505-2E9C-101B-9397-08002B2CF9AE}" pid="22" name="Mendeley Recent Style Name 7_1">
    <vt:lpwstr>Modern Language Association 9th edition</vt:lpwstr>
  </property>
  <property fmtid="{D5CDD505-2E9C-101B-9397-08002B2CF9AE}" pid="23" name="Mendeley Recent Style Id 8_1">
    <vt:lpwstr>http://www.zotero.org/styles/nature</vt:lpwstr>
  </property>
  <property fmtid="{D5CDD505-2E9C-101B-9397-08002B2CF9AE}" pid="24" name="Mendeley Recent Style Name 8_1">
    <vt:lpwstr>Nature</vt:lpwstr>
  </property>
  <property fmtid="{D5CDD505-2E9C-101B-9397-08002B2CF9AE}" pid="25" name="Mendeley Recent Style Id 9_1">
    <vt:lpwstr>http://www.zotero.org/styles/vancouver</vt:lpwstr>
  </property>
  <property fmtid="{D5CDD505-2E9C-101B-9397-08002B2CF9AE}" pid="26" name="Mendeley Recent Style Name 9_1">
    <vt:lpwstr>Vancouver</vt:lpwstr>
  </property>
</Properties>
</file>