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  <w:spacing w:line="480" w:lineRule="auto"/>
      </w:pPr>
      <w:r>
        <w:rPr>
          <w:rFonts w:hint="eastAsia"/>
        </w:rPr>
        <w:t xml:space="preserve">Identification and Validation of </w:t>
      </w:r>
      <w:r>
        <w:rPr>
          <w:rFonts w:hint="eastAsia" w:eastAsia="宋体"/>
          <w:lang w:eastAsia="zh-CN"/>
        </w:rPr>
        <w:t xml:space="preserve">potential common </w:t>
      </w:r>
      <w:r>
        <w:rPr>
          <w:rFonts w:hint="eastAsia"/>
        </w:rPr>
        <w:t>biomarkers for papillary thyroid carcinoma</w:t>
      </w:r>
      <w:r>
        <w:rPr>
          <w:rFonts w:hint="eastAsia" w:eastAsia="宋体"/>
          <w:lang w:eastAsia="zh-CN"/>
        </w:rPr>
        <w:t xml:space="preserve"> and </w:t>
      </w:r>
      <w:r>
        <w:rPr>
          <w:rFonts w:hint="eastAsia"/>
        </w:rPr>
        <w:t>Hashimoto's thyroiditis</w:t>
      </w:r>
      <w:r>
        <w:rPr>
          <w:rFonts w:hint="eastAsia" w:eastAsia="宋体"/>
          <w:lang w:eastAsia="zh-CN"/>
        </w:rPr>
        <w:t xml:space="preserve"> </w:t>
      </w:r>
      <w:r>
        <w:rPr>
          <w:rFonts w:hint="eastAsia"/>
        </w:rPr>
        <w:t>through Bioinformatics Analysis and Machine Learning</w:t>
      </w:r>
    </w:p>
    <w:p>
      <w:pPr>
        <w:pStyle w:val="34"/>
        <w:spacing w:line="480" w:lineRule="auto"/>
        <w:jc w:val="center"/>
        <w:rPr>
          <w:rFonts w:eastAsia="宋体"/>
          <w:lang w:eastAsia="zh-CN"/>
        </w:rPr>
      </w:pPr>
      <w:r>
        <w:rPr>
          <w:rFonts w:hint="eastAsia"/>
        </w:rPr>
        <w:t>Hui JIANG</w:t>
      </w:r>
      <w:r>
        <w:rPr>
          <w:vertAlign w:val="superscript"/>
        </w:rPr>
        <w:t>1</w:t>
      </w:r>
      <w:r>
        <w:t xml:space="preserve">, </w:t>
      </w:r>
      <w:r>
        <w:rPr>
          <w:rFonts w:hint="eastAsia" w:eastAsia="宋体"/>
          <w:lang w:eastAsia="zh-CN"/>
        </w:rPr>
        <w:t>Yanbin He</w:t>
      </w:r>
      <w:r>
        <w:rPr>
          <w:rFonts w:hint="eastAsia" w:eastAsia="宋体"/>
          <w:vertAlign w:val="superscript"/>
          <w:lang w:eastAsia="zh-CN"/>
        </w:rPr>
        <w:t>3</w:t>
      </w:r>
      <w:r>
        <w:rPr>
          <w:rFonts w:hint="eastAsia" w:eastAsia="宋体"/>
          <w:vertAlign w:val="superscript"/>
          <w:lang w:val="en-US" w:eastAsia="zh-CN"/>
        </w:rPr>
        <w:t>,4</w:t>
      </w:r>
      <w:r>
        <w:rPr>
          <w:rFonts w:hint="eastAsia" w:eastAsia="宋体"/>
          <w:lang w:eastAsia="zh-CN"/>
        </w:rPr>
        <w:t>,</w:t>
      </w:r>
      <w:r>
        <w:t xml:space="preserve"> Xiaofeng LAN</w:t>
      </w:r>
      <w:r>
        <w:rPr>
          <w:vertAlign w:val="superscript"/>
        </w:rPr>
        <w:t>1</w:t>
      </w:r>
      <w:r>
        <w:t>,</w:t>
      </w:r>
      <w:r>
        <w:rPr>
          <w:rFonts w:hint="eastAsia" w:eastAsia="宋体"/>
          <w:lang w:eastAsia="zh-CN"/>
        </w:rPr>
        <w:t xml:space="preserve"> </w:t>
      </w:r>
      <w:r>
        <w:rPr>
          <w:rFonts w:hint="eastAsia"/>
        </w:rPr>
        <w:t>Xiang XIE</w:t>
      </w:r>
      <w:bookmarkStart w:id="0" w:name="_GoBack"/>
      <w:bookmarkEnd w:id="0"/>
      <w:r>
        <w:rPr>
          <w:rFonts w:hint="eastAsia" w:eastAsia="宋体"/>
          <w:vertAlign w:val="superscript"/>
          <w:lang w:val="en-US" w:eastAsia="zh-CN"/>
        </w:rPr>
        <w:t>1,2</w:t>
      </w:r>
      <w:r>
        <w:rPr>
          <w:vertAlign w:val="superscript"/>
        </w:rPr>
        <w:t>*</w:t>
      </w:r>
    </w:p>
    <w:p>
      <w:pPr>
        <w:spacing w:before="240" w:after="0" w:line="48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szCs w:val="24"/>
          <w:vertAlign w:val="superscript"/>
        </w:rPr>
        <w:t>1</w:t>
      </w:r>
      <w:r>
        <w:rPr>
          <w:rFonts w:hint="eastAsia" w:cs="Times New Roman"/>
          <w:szCs w:val="24"/>
        </w:rPr>
        <w:t>Department of Ultrasound,The Second Affiliated Hospital of Anhui Medical Universty,Hefei, 230601,Anhui,China</w:t>
      </w:r>
    </w:p>
    <w:p>
      <w:pPr>
        <w:spacing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>2</w:t>
      </w:r>
      <w:r>
        <w:rPr>
          <w:rFonts w:hint="eastAsia" w:cs="Times New Roman"/>
          <w:szCs w:val="24"/>
        </w:rPr>
        <w:t>Department of Interventional Ultrasound, The Second Affiliated Hospital of Anhui Medical Universty,Hefei, 230601,Anhui,China</w:t>
      </w:r>
    </w:p>
    <w:p>
      <w:pPr>
        <w:spacing w:after="0" w:line="480" w:lineRule="auto"/>
        <w:jc w:val="center"/>
        <w:rPr>
          <w:rFonts w:cs="Times New Roman"/>
          <w:szCs w:val="24"/>
        </w:rPr>
      </w:pPr>
      <w:r>
        <w:rPr>
          <w:rFonts w:hint="eastAsia" w:eastAsia="宋体" w:cs="Times New Roman"/>
          <w:szCs w:val="24"/>
          <w:vertAlign w:val="superscript"/>
          <w:lang w:val="en-US" w:eastAsia="zh-CN"/>
        </w:rPr>
        <w:t>3</w:t>
      </w:r>
      <w:r>
        <w:rPr>
          <w:rFonts w:hint="eastAsia" w:cs="Times New Roman"/>
          <w:szCs w:val="24"/>
        </w:rPr>
        <w:t>Dian Diagnostics Group Co., Ltd., 310000 Hangzhou, Zhejiang, China</w:t>
      </w:r>
    </w:p>
    <w:p>
      <w:pPr>
        <w:spacing w:after="0" w:line="480" w:lineRule="auto"/>
        <w:jc w:val="center"/>
        <w:rPr>
          <w:rFonts w:cs="Times New Roman"/>
          <w:szCs w:val="24"/>
          <w:lang w:eastAsia="zh-CN"/>
        </w:rPr>
      </w:pPr>
      <w:r>
        <w:rPr>
          <w:rFonts w:hint="eastAsia" w:eastAsia="宋体" w:cs="Times New Roman"/>
          <w:szCs w:val="24"/>
          <w:vertAlign w:val="superscript"/>
          <w:lang w:val="en-US" w:eastAsia="zh-CN"/>
        </w:rPr>
        <w:t>4</w:t>
      </w:r>
      <w:r>
        <w:rPr>
          <w:rFonts w:hint="eastAsia" w:cs="Times New Roman"/>
          <w:szCs w:val="24"/>
        </w:rPr>
        <w:t>Key Laboratory of Digital Technology in Medical Diagnostics of Zhejiang Province, 310030 Hangzhou, Zhejiang, China</w:t>
      </w:r>
    </w:p>
    <w:p>
      <w:pPr>
        <w:spacing w:after="0" w:line="480" w:lineRule="auto"/>
        <w:rPr>
          <w:rFonts w:cs="Times New Roman"/>
          <w:szCs w:val="24"/>
          <w:lang w:eastAsia="zh-CN"/>
        </w:rPr>
      </w:pPr>
    </w:p>
    <w:p>
      <w:pPr>
        <w:spacing w:before="240" w:after="0" w:line="480" w:lineRule="auto"/>
        <w:jc w:val="center"/>
        <w:rPr>
          <w:rFonts w:hint="eastAsia" w:cs="Times New Roman"/>
          <w:szCs w:val="24"/>
        </w:rPr>
      </w:pPr>
      <w:r>
        <w:rPr>
          <w:rFonts w:hint="eastAsia" w:cs="Times New Roman"/>
          <w:b/>
          <w:szCs w:val="24"/>
        </w:rPr>
        <w:t>*To whom correspondence should be addressed.</w:t>
      </w:r>
      <w:r>
        <w:rPr>
          <w:rFonts w:cs="Times New Roman"/>
          <w:b/>
          <w:szCs w:val="24"/>
        </w:rPr>
        <w:br w:type="textWrapping"/>
      </w:r>
      <w:r>
        <w:rPr>
          <w:rFonts w:hint="eastAsia" w:eastAsia="宋体" w:cs="Times New Roman"/>
          <w:b/>
          <w:szCs w:val="24"/>
          <w:lang w:val="en-US" w:eastAsia="zh-CN"/>
        </w:rPr>
        <w:t xml:space="preserve">Emial: </w:t>
      </w:r>
      <w:r>
        <w:rPr>
          <w:rFonts w:hint="eastAsia" w:cs="Times New Roman"/>
          <w:szCs w:val="24"/>
        </w:rPr>
        <w:fldChar w:fldCharType="begin"/>
      </w:r>
      <w:r>
        <w:rPr>
          <w:rFonts w:hint="eastAsia" w:cs="Times New Roman"/>
          <w:szCs w:val="24"/>
        </w:rPr>
        <w:instrText xml:space="preserve"> HYPERLINK "mailto:sonographer@126.com" </w:instrText>
      </w:r>
      <w:r>
        <w:rPr>
          <w:rFonts w:hint="eastAsia" w:cs="Times New Roman"/>
          <w:szCs w:val="24"/>
        </w:rPr>
        <w:fldChar w:fldCharType="separate"/>
      </w:r>
      <w:r>
        <w:rPr>
          <w:rStyle w:val="28"/>
          <w:rFonts w:hint="eastAsia" w:cs="Times New Roman"/>
          <w:szCs w:val="24"/>
        </w:rPr>
        <w:t>sonographer@126.com</w:t>
      </w:r>
      <w:r>
        <w:rPr>
          <w:rFonts w:hint="eastAsia" w:cs="Times New Roman"/>
          <w:szCs w:val="24"/>
        </w:rPr>
        <w:fldChar w:fldCharType="end"/>
      </w:r>
    </w:p>
    <w:p>
      <w:pPr>
        <w:spacing w:before="240" w:after="0" w:line="360" w:lineRule="auto"/>
        <w:rPr>
          <w:rFonts w:hint="eastAsia" w:cs="Times New Roman"/>
          <w:szCs w:val="24"/>
          <w:lang w:eastAsia="zh-CN"/>
        </w:rPr>
      </w:pPr>
    </w:p>
    <w:p>
      <w:pPr>
        <w:spacing w:before="240" w:after="0" w:line="360" w:lineRule="auto"/>
        <w:rPr>
          <w:rFonts w:hint="eastAsia" w:cs="Times New Roman"/>
          <w:szCs w:val="24"/>
          <w:lang w:eastAsia="zh-CN"/>
        </w:rPr>
      </w:pPr>
    </w:p>
    <w:p>
      <w:pPr>
        <w:spacing w:before="240" w:after="0" w:line="360" w:lineRule="auto"/>
        <w:rPr>
          <w:rFonts w:hint="eastAsia" w:cs="Times New Roman"/>
          <w:szCs w:val="24"/>
          <w:lang w:eastAsia="zh-CN"/>
        </w:rPr>
      </w:pPr>
    </w:p>
    <w:p>
      <w:pPr>
        <w:spacing w:before="240" w:after="0" w:line="360" w:lineRule="auto"/>
        <w:rPr>
          <w:rFonts w:hint="eastAsia" w:cs="Times New Roman"/>
          <w:szCs w:val="24"/>
          <w:lang w:eastAsia="zh-CN"/>
        </w:rPr>
      </w:pPr>
    </w:p>
    <w:p>
      <w:pPr>
        <w:spacing w:before="240" w:after="0" w:line="360" w:lineRule="auto"/>
        <w:rPr>
          <w:rFonts w:hint="eastAsia" w:cs="Times New Roman"/>
          <w:szCs w:val="24"/>
          <w:lang w:eastAsia="zh-CN"/>
        </w:rPr>
      </w:pPr>
    </w:p>
    <w:p>
      <w:pPr>
        <w:spacing w:before="240" w:after="0" w:line="360" w:lineRule="auto"/>
        <w:rPr>
          <w:rFonts w:hint="eastAsia" w:cs="Times New Roman"/>
          <w:szCs w:val="24"/>
          <w:lang w:eastAsia="zh-CN"/>
        </w:rPr>
      </w:pPr>
    </w:p>
    <w:p>
      <w:pPr>
        <w:spacing w:line="360" w:lineRule="auto"/>
        <w:jc w:val="both"/>
        <w:rPr>
          <w:rFonts w:hint="eastAsia" w:eastAsia="宋体"/>
          <w:b/>
          <w:bCs/>
          <w:lang w:eastAsia="zh-CN"/>
        </w:rPr>
      </w:pPr>
      <w:r>
        <w:rPr>
          <w:rFonts w:hint="eastAsia" w:eastAsia="宋体"/>
          <w:b/>
          <w:bCs/>
          <w:lang w:eastAsia="zh-CN"/>
        </w:rPr>
        <w:drawing>
          <wp:inline distT="0" distB="0" distL="114300" distR="114300">
            <wp:extent cx="6206490" cy="2896870"/>
            <wp:effectExtent l="0" t="0" r="11430" b="13970"/>
            <wp:docPr id="7" name="图片 7" descr="Fig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06490" cy="289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eastAsia="宋体"/>
          <w:b w:val="0"/>
          <w:bCs w:val="0"/>
          <w:lang w:val="en-US" w:eastAsia="zh-CN"/>
        </w:rPr>
      </w:pPr>
      <w:r>
        <w:rPr>
          <w:rFonts w:hint="eastAsia"/>
          <w:b/>
          <w:bCs/>
        </w:rPr>
        <w:t>Supplementary Figure 1</w:t>
      </w:r>
      <w:r>
        <w:rPr>
          <w:rFonts w:hint="eastAsia" w:eastAsia="宋体"/>
          <w:b/>
          <w:bCs/>
          <w:lang w:val="en-US" w:eastAsia="zh-CN"/>
        </w:rPr>
        <w:t>.</w:t>
      </w:r>
      <w:r>
        <w:rPr>
          <w:rFonts w:hint="eastAsia"/>
          <w:b/>
          <w:bCs/>
        </w:rPr>
        <w:t xml:space="preserve"> </w:t>
      </w:r>
      <w:r>
        <w:rPr>
          <w:rFonts w:hint="eastAsia" w:eastAsia="宋体"/>
          <w:lang w:val="en-US" w:eastAsia="zh-CN"/>
        </w:rPr>
        <w:t>P</w:t>
      </w:r>
      <w:r>
        <w:rPr>
          <w:rFonts w:hint="eastAsia"/>
        </w:rPr>
        <w:t>rotein-protein interaction</w:t>
      </w:r>
      <w:r>
        <w:rPr>
          <w:rFonts w:hint="eastAsia" w:eastAsia="宋体"/>
          <w:lang w:val="en-US" w:eastAsia="zh-CN"/>
        </w:rPr>
        <w:t xml:space="preserve"> (PPI) network construction and module analysis</w:t>
      </w:r>
      <w:r>
        <w:rPr>
          <w:rFonts w:hint="eastAsia"/>
        </w:rPr>
        <w:t xml:space="preserve">. </w:t>
      </w:r>
      <w:r>
        <w:rPr>
          <w:rFonts w:hint="eastAsia" w:eastAsia="宋体"/>
          <w:b/>
          <w:bCs/>
          <w:lang w:val="en-US" w:eastAsia="zh-CN"/>
        </w:rPr>
        <w:t>(a)</w:t>
      </w:r>
      <w:r>
        <w:rPr>
          <w:rFonts w:hint="eastAsia"/>
        </w:rPr>
        <w:t xml:space="preserve"> The PPI </w:t>
      </w:r>
      <w:r>
        <w:rPr>
          <w:rFonts w:hint="eastAsia" w:eastAsia="宋体"/>
          <w:lang w:val="en-US" w:eastAsia="zh-CN"/>
        </w:rPr>
        <w:t xml:space="preserve">network </w:t>
      </w:r>
      <w:r>
        <w:rPr>
          <w:rFonts w:hint="eastAsia"/>
        </w:rPr>
        <w:t>among overlapping DEGs</w:t>
      </w:r>
      <w:r>
        <w:rPr>
          <w:rFonts w:hint="eastAsia" w:eastAsia="宋体"/>
          <w:lang w:val="en-US" w:eastAsia="zh-CN"/>
        </w:rPr>
        <w:t>. Node size: the value of DC.</w:t>
      </w:r>
      <w:r>
        <w:rPr>
          <w:rFonts w:hint="eastAsia"/>
        </w:rPr>
        <w:t xml:space="preserve"> </w:t>
      </w:r>
      <w:r>
        <w:rPr>
          <w:rFonts w:hint="eastAsia" w:eastAsia="宋体"/>
          <w:b/>
          <w:bCs/>
          <w:lang w:val="en-US" w:eastAsia="zh-CN"/>
        </w:rPr>
        <w:t>(b)</w:t>
      </w:r>
      <w:r>
        <w:rPr>
          <w:rFonts w:hint="eastAsia"/>
        </w:rPr>
        <w:t xml:space="preserve"> </w:t>
      </w:r>
      <w:r>
        <w:rPr>
          <w:rFonts w:hint="eastAsia" w:eastAsia="宋体"/>
          <w:lang w:val="en-US" w:eastAsia="zh-CN"/>
        </w:rPr>
        <w:t>T</w:t>
      </w:r>
      <w:r>
        <w:rPr>
          <w:rFonts w:hint="eastAsia"/>
        </w:rPr>
        <w:t>he most important module of PPI network</w:t>
      </w:r>
      <w:r>
        <w:rPr>
          <w:rFonts w:hint="eastAsia" w:eastAsia="宋体"/>
          <w:lang w:val="en-US" w:eastAsia="zh-CN"/>
        </w:rPr>
        <w:t>.</w:t>
      </w:r>
      <w:r>
        <w:rPr>
          <w:rFonts w:hint="eastAsia"/>
        </w:rPr>
        <w:t xml:space="preserve"> </w:t>
      </w:r>
      <w:r>
        <w:rPr>
          <w:rFonts w:hint="eastAsia" w:eastAsia="宋体"/>
          <w:b/>
          <w:bCs/>
          <w:lang w:val="en-US" w:eastAsia="zh-CN"/>
        </w:rPr>
        <w:t>(b,c)</w:t>
      </w:r>
      <w:r>
        <w:rPr>
          <w:rFonts w:hint="eastAsia"/>
        </w:rPr>
        <w:t xml:space="preserve"> </w:t>
      </w:r>
      <w:r>
        <w:rPr>
          <w:rFonts w:hint="eastAsia" w:eastAsia="宋体"/>
          <w:lang w:val="en-US" w:eastAsia="zh-CN"/>
        </w:rPr>
        <w:t>Six</w:t>
      </w:r>
      <w:r>
        <w:rPr>
          <w:rFonts w:hint="eastAsia"/>
        </w:rPr>
        <w:t xml:space="preserve"> cluster modules extracted by MCODE. </w:t>
      </w:r>
      <w:r>
        <w:rPr>
          <w:rFonts w:hint="eastAsia" w:eastAsia="宋体"/>
          <w:b/>
          <w:bCs/>
          <w:lang w:val="en-US" w:eastAsia="zh-CN"/>
        </w:rPr>
        <w:t>(d)</w:t>
      </w:r>
      <w:r>
        <w:rPr>
          <w:rFonts w:hint="eastAsia"/>
        </w:rPr>
        <w:t xml:space="preserve"> GO enrichment terms of the 12 DEGs in the most important module visualized using the ClueGO plugin.</w:t>
      </w:r>
    </w:p>
    <w:p>
      <w:pPr>
        <w:spacing w:line="360" w:lineRule="auto"/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6207125" cy="6792595"/>
            <wp:effectExtent l="0" t="0" r="10795" b="4445"/>
            <wp:docPr id="4" name="图片 4" descr="Supplementary Fig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ure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07125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hint="eastAsia" w:eastAsia="宋体"/>
          <w:lang w:val="en-US" w:eastAsia="zh-CN"/>
        </w:rPr>
      </w:pPr>
      <w:r>
        <w:rPr>
          <w:rFonts w:hint="eastAsia"/>
          <w:b/>
          <w:bCs/>
        </w:rPr>
        <w:t xml:space="preserve">Supplementary Figure </w:t>
      </w:r>
      <w:r>
        <w:rPr>
          <w:rFonts w:hint="eastAsia" w:eastAsia="宋体"/>
          <w:b/>
          <w:bCs/>
          <w:lang w:val="en-US" w:eastAsia="zh-CN"/>
        </w:rPr>
        <w:t>2.</w:t>
      </w:r>
      <w:r>
        <w:rPr>
          <w:rFonts w:hint="eastAsia"/>
          <w:b/>
          <w:bCs/>
        </w:rPr>
        <w:t xml:space="preserve"> </w:t>
      </w:r>
      <w:r>
        <w:rPr>
          <w:rFonts w:hint="eastAsia" w:eastAsia="宋体"/>
          <w:lang w:val="en-US" w:eastAsia="zh-CN"/>
        </w:rPr>
        <w:t>T</w:t>
      </w:r>
      <w:r>
        <w:rPr>
          <w:rFonts w:hint="eastAsia"/>
        </w:rPr>
        <w:t xml:space="preserve">he </w:t>
      </w:r>
      <w:r>
        <w:rPr>
          <w:rFonts w:hint="eastAsia" w:eastAsia="宋体"/>
          <w:lang w:val="en-US" w:eastAsia="zh-CN"/>
        </w:rPr>
        <w:t xml:space="preserve">expression level of hub genes in GSE35570, GSE29315, GSE33630 and GSE138198. </w:t>
      </w:r>
    </w:p>
    <w:p>
      <w:pPr>
        <w:spacing w:line="360" w:lineRule="auto"/>
        <w:jc w:val="both"/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drawing>
          <wp:inline distT="0" distB="0" distL="114300" distR="114300">
            <wp:extent cx="6202045" cy="2602865"/>
            <wp:effectExtent l="0" t="0" r="635" b="3175"/>
            <wp:docPr id="5" name="图片 5" descr="XGBOOST D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XGBOOST DT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02045" cy="260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hint="default" w:eastAsia="宋体"/>
          <w:lang w:val="en-US" w:eastAsia="zh-CN"/>
        </w:rPr>
      </w:pPr>
      <w:r>
        <w:rPr>
          <w:rFonts w:hint="eastAsia"/>
          <w:b/>
          <w:bCs/>
        </w:rPr>
        <w:t xml:space="preserve">Supplementary Figure </w:t>
      </w:r>
      <w:r>
        <w:rPr>
          <w:rFonts w:hint="eastAsia" w:eastAsia="宋体"/>
          <w:b/>
          <w:bCs/>
          <w:lang w:val="en-US" w:eastAsia="zh-CN"/>
        </w:rPr>
        <w:t>3.</w:t>
      </w:r>
      <w:r>
        <w:rPr>
          <w:rFonts w:hint="eastAsia" w:eastAsia="宋体"/>
          <w:lang w:eastAsia="zh-CN"/>
        </w:rPr>
        <w:t xml:space="preserve"> </w:t>
      </w:r>
      <w:r>
        <w:rPr>
          <w:rFonts w:hint="eastAsia" w:eastAsia="宋体"/>
          <w:lang w:val="en-US" w:eastAsia="zh-CN"/>
        </w:rPr>
        <w:t>M</w:t>
      </w:r>
      <w:r>
        <w:rPr>
          <w:rFonts w:hint="eastAsia" w:eastAsia="宋体"/>
          <w:lang w:eastAsia="zh-CN"/>
        </w:rPr>
        <w:t>odel performance evaluation</w:t>
      </w:r>
      <w:r>
        <w:rPr>
          <w:rFonts w:hint="eastAsia" w:eastAsia="宋体"/>
          <w:lang w:val="en-US" w:eastAsia="zh-CN"/>
        </w:rPr>
        <w:t xml:space="preserve">. </w:t>
      </w:r>
      <w:r>
        <w:rPr>
          <w:rFonts w:hint="eastAsia" w:eastAsia="宋体"/>
          <w:b/>
          <w:bCs/>
          <w:lang w:val="en-US" w:eastAsia="zh-CN"/>
        </w:rPr>
        <w:t xml:space="preserve">(a) </w:t>
      </w:r>
      <w:r>
        <w:rPr>
          <w:rFonts w:hint="eastAsia" w:eastAsia="宋体"/>
          <w:lang w:val="en-US" w:eastAsia="zh-CN"/>
        </w:rPr>
        <w:t xml:space="preserve">Diagnostic value of the EXtreme Gradient Boosting (XGBoost) model in the GSE35570. </w:t>
      </w:r>
      <w:r>
        <w:rPr>
          <w:rFonts w:hint="eastAsia" w:eastAsia="宋体"/>
          <w:b/>
          <w:bCs/>
          <w:lang w:val="en-US" w:eastAsia="zh-CN"/>
        </w:rPr>
        <w:t xml:space="preserve">(b) </w:t>
      </w:r>
      <w:r>
        <w:rPr>
          <w:rFonts w:hint="eastAsia" w:eastAsia="宋体"/>
          <w:lang w:val="en-US" w:eastAsia="zh-CN"/>
        </w:rPr>
        <w:t>Diagnostic value of the Decision Tree (DT) model in the GSE35570.</w:t>
      </w:r>
    </w:p>
    <w:p>
      <w:pPr>
        <w:spacing w:line="360" w:lineRule="auto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6202680" cy="5593080"/>
            <wp:effectExtent l="0" t="0" r="0" b="0"/>
            <wp:docPr id="2" name="图片 2" descr="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559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hint="default" w:eastAsia="宋体"/>
          <w:lang w:val="en-US" w:eastAsia="zh-CN"/>
        </w:rPr>
      </w:pPr>
      <w:r>
        <w:rPr>
          <w:rFonts w:hint="eastAsia"/>
          <w:b/>
          <w:bCs/>
        </w:rPr>
        <w:t xml:space="preserve">Supplementary Figure </w:t>
      </w:r>
      <w:r>
        <w:rPr>
          <w:rFonts w:hint="eastAsia" w:eastAsia="宋体"/>
          <w:b/>
          <w:bCs/>
          <w:lang w:val="en-US" w:eastAsia="zh-CN"/>
        </w:rPr>
        <w:t>4.</w:t>
      </w:r>
      <w:r>
        <w:rPr>
          <w:rFonts w:hint="eastAsia" w:eastAsia="宋体"/>
          <w:lang w:eastAsia="zh-CN"/>
        </w:rPr>
        <w:t xml:space="preserve"> Gene expression in the HPA database</w:t>
      </w:r>
      <w:r>
        <w:rPr>
          <w:rFonts w:hint="eastAsia" w:eastAsia="宋体"/>
          <w:lang w:val="en-US" w:eastAsia="zh-CN"/>
        </w:rPr>
        <w:t>.</w:t>
      </w:r>
    </w:p>
    <w:p>
      <w:pPr>
        <w:spacing w:line="360" w:lineRule="auto"/>
        <w:jc w:val="both"/>
        <w:rPr>
          <w:rFonts w:hint="default" w:eastAsia="宋体"/>
          <w:b/>
          <w:lang w:val="en-US" w:eastAsia="zh-CN"/>
        </w:rPr>
      </w:pPr>
      <w:r>
        <w:rPr>
          <w:rFonts w:hint="eastAsia" w:eastAsia="宋体"/>
          <w:b/>
          <w:lang w:val="en-US" w:eastAsia="zh-CN"/>
        </w:rPr>
        <w:drawing>
          <wp:inline distT="0" distB="0" distL="114300" distR="114300">
            <wp:extent cx="6202045" cy="8397875"/>
            <wp:effectExtent l="0" t="0" r="635" b="14605"/>
            <wp:docPr id="8" name="图片 8" descr="CIBERS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IBERSORT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02045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b/>
          <w:lang w:val="en-US" w:eastAsia="zh-CN"/>
        </w:rPr>
        <w:t xml:space="preserve"> </w:t>
      </w:r>
    </w:p>
    <w:p>
      <w:pPr>
        <w:spacing w:line="360" w:lineRule="auto"/>
        <w:jc w:val="both"/>
        <w:rPr>
          <w:rFonts w:hint="eastAsia" w:eastAsia="宋体"/>
          <w:lang w:eastAsia="zh-CN"/>
        </w:rPr>
      </w:pPr>
      <w:r>
        <w:rPr>
          <w:rFonts w:hint="eastAsia"/>
          <w:b/>
          <w:bCs/>
        </w:rPr>
        <w:t xml:space="preserve">Supplementary Figure </w:t>
      </w:r>
      <w:r>
        <w:rPr>
          <w:rFonts w:hint="eastAsia" w:eastAsia="宋体"/>
          <w:b/>
          <w:bCs/>
          <w:lang w:val="en-US" w:eastAsia="zh-CN"/>
        </w:rPr>
        <w:t>5.</w:t>
      </w:r>
      <w:r>
        <w:rPr>
          <w:rFonts w:hint="eastAsia"/>
          <w:b/>
          <w:bCs w:val="0"/>
        </w:rPr>
        <w:t xml:space="preserve"> </w:t>
      </w:r>
      <w:r>
        <w:rPr>
          <w:rFonts w:hint="default" w:ascii="Cambria" w:hAnsi="Times New Roman" w:eastAsia="Calibri" w:cs="Times New Roman"/>
          <w:sz w:val="24"/>
          <w:szCs w:val="24"/>
          <w:lang w:val="en-US" w:eastAsia="en-US" w:bidi="ar"/>
        </w:rPr>
        <w:t>Immune Infiltration</w:t>
      </w:r>
      <w:r>
        <w:rPr>
          <w:rFonts w:hint="eastAsia" w:ascii="Cambria" w:eastAsia="宋体" w:cs="Times New Roman"/>
          <w:sz w:val="24"/>
          <w:szCs w:val="24"/>
          <w:lang w:val="en-US" w:eastAsia="zh-CN" w:bidi="ar"/>
        </w:rPr>
        <w:t xml:space="preserve"> a</w:t>
      </w:r>
      <w:r>
        <w:rPr>
          <w:rFonts w:hint="default" w:ascii="Cambria" w:hAnsi="Times New Roman" w:eastAsia="Calibri" w:cs="Times New Roman"/>
          <w:sz w:val="24"/>
          <w:szCs w:val="24"/>
          <w:lang w:val="en-US" w:eastAsia="en-US" w:bidi="ar"/>
        </w:rPr>
        <w:t>nalysis</w:t>
      </w:r>
      <w:r>
        <w:rPr>
          <w:rFonts w:hint="eastAsia" w:ascii="Cambria" w:eastAsia="宋体" w:cs="Times New Roman"/>
          <w:sz w:val="24"/>
          <w:szCs w:val="24"/>
          <w:lang w:val="en-US" w:eastAsia="zh-CN" w:bidi="ar"/>
        </w:rPr>
        <w:t xml:space="preserve">. </w:t>
      </w:r>
      <w:r>
        <w:rPr>
          <w:rFonts w:hint="eastAsia" w:ascii="Cambria" w:eastAsia="宋体" w:cs="Times New Roman"/>
          <w:b/>
          <w:bCs/>
          <w:sz w:val="24"/>
          <w:szCs w:val="24"/>
          <w:lang w:val="en-US" w:eastAsia="zh-CN" w:bidi="ar"/>
        </w:rPr>
        <w:t>(a)</w:t>
      </w:r>
      <w:r>
        <w:rPr>
          <w:rFonts w:hint="eastAsia"/>
          <w:b w:val="0"/>
          <w:bCs/>
        </w:rPr>
        <w:t xml:space="preserve"> </w:t>
      </w:r>
      <w:r>
        <w:rPr>
          <w:rFonts w:hint="eastAsia" w:eastAsia="宋体"/>
          <w:b w:val="0"/>
          <w:bCs/>
          <w:lang w:val="en-US" w:eastAsia="zh-CN"/>
        </w:rPr>
        <w:t>Comparison regarding the proportion of 22 kinds of immune cells between PTC and normal groups.</w:t>
      </w:r>
      <w:r>
        <w:rPr>
          <w:rFonts w:hint="eastAsia" w:eastAsia="宋体"/>
          <w:b/>
          <w:bCs w:val="0"/>
          <w:lang w:val="en-US" w:eastAsia="zh-CN"/>
        </w:rPr>
        <w:t xml:space="preserve"> (b)</w:t>
      </w:r>
      <w:r>
        <w:rPr>
          <w:rFonts w:hint="eastAsia" w:eastAsia="宋体"/>
          <w:b w:val="0"/>
          <w:bCs/>
          <w:lang w:val="en-US" w:eastAsia="zh-CN"/>
        </w:rPr>
        <w:t xml:space="preserve"> Comparison regarding the proportion of 22 kinds of immune cells between HT and control groups. </w:t>
      </w:r>
      <w:r>
        <w:rPr>
          <w:rFonts w:hint="eastAsia" w:eastAsia="宋体"/>
          <w:b/>
          <w:bCs w:val="0"/>
          <w:lang w:val="en-US" w:eastAsia="zh-CN"/>
        </w:rPr>
        <w:t xml:space="preserve">(c) </w:t>
      </w:r>
      <w:r>
        <w:rPr>
          <w:rFonts w:hint="eastAsia" w:eastAsia="宋体"/>
          <w:b w:val="0"/>
          <w:bCs/>
          <w:lang w:val="en-US" w:eastAsia="zh-CN"/>
        </w:rPr>
        <w:t xml:space="preserve">Correlation between the immune infiltrating cells and hub genes in PTC. </w:t>
      </w:r>
      <w:r>
        <w:rPr>
          <w:rFonts w:hint="eastAsia" w:eastAsia="宋体"/>
          <w:b/>
          <w:bCs w:val="0"/>
          <w:lang w:val="en-US" w:eastAsia="zh-CN"/>
        </w:rPr>
        <w:t>(d)</w:t>
      </w:r>
      <w:r>
        <w:rPr>
          <w:rFonts w:hint="eastAsia" w:eastAsia="宋体"/>
          <w:b w:val="0"/>
          <w:bCs/>
          <w:lang w:val="en-US" w:eastAsia="zh-CN"/>
        </w:rPr>
        <w:t xml:space="preserve"> Correlation between the immune infiltrating cells and hub genes in HT.*P &lt; 0.05; **P &lt; 0.01; ***P &lt; 0.001; NS, not significant.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jc w:val="both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b/>
          <w:bCs/>
        </w:rPr>
        <w:t>Supplementary</w:t>
      </w:r>
      <w:r>
        <w:rPr>
          <w:rFonts w:hint="eastAsia" w:eastAsia="宋体"/>
          <w:b/>
          <w:bCs/>
          <w:lang w:val="en-US" w:eastAsia="zh-CN"/>
        </w:rPr>
        <w:t xml:space="preserve"> Table 1.</w:t>
      </w:r>
      <w:r>
        <w:rPr>
          <w:rFonts w:hint="eastAsia"/>
          <w:b/>
          <w:bCs/>
        </w:rPr>
        <w:t xml:space="preserve"> </w:t>
      </w:r>
      <w:r>
        <w:rPr>
          <w:rFonts w:hint="eastAsia" w:eastAsia="宋体"/>
          <w:lang w:val="en-US" w:eastAsia="zh-CN"/>
        </w:rPr>
        <w:t>Diagnostic value of models in the GSE35570.</w:t>
      </w:r>
    </w:p>
    <w:tbl>
      <w:tblPr>
        <w:tblStyle w:val="21"/>
        <w:tblW w:w="4997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1624"/>
        <w:gridCol w:w="2132"/>
        <w:gridCol w:w="1624"/>
        <w:gridCol w:w="2132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239" w:type="pct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Model</w:t>
            </w:r>
          </w:p>
        </w:tc>
        <w:tc>
          <w:tcPr>
            <w:tcW w:w="1880" w:type="pct"/>
            <w:gridSpan w:val="2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Training set</w:t>
            </w:r>
          </w:p>
        </w:tc>
        <w:tc>
          <w:tcPr>
            <w:tcW w:w="1880" w:type="pct"/>
            <w:gridSpan w:val="2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Test set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9" w:type="pct"/>
            <w:vMerge w:val="continue"/>
            <w:tcBorders>
              <w:top w:val="nil"/>
              <w:bottom w:val="single" w:color="auto" w:sz="8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lang w:eastAsia="zh-CN"/>
              </w:rPr>
            </w:pPr>
          </w:p>
        </w:tc>
        <w:tc>
          <w:tcPr>
            <w:tcW w:w="813" w:type="pct"/>
            <w:tcBorders>
              <w:top w:val="single" w:color="auto" w:sz="4" w:space="0"/>
              <w:bottom w:val="single" w:color="auto" w:sz="8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AUC</w:t>
            </w:r>
          </w:p>
        </w:tc>
        <w:tc>
          <w:tcPr>
            <w:tcW w:w="1066" w:type="pct"/>
            <w:tcBorders>
              <w:top w:val="single" w:color="auto" w:sz="4" w:space="0"/>
              <w:bottom w:val="single" w:color="auto" w:sz="8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95%CI</w:t>
            </w:r>
          </w:p>
        </w:tc>
        <w:tc>
          <w:tcPr>
            <w:tcW w:w="813" w:type="pct"/>
            <w:tcBorders>
              <w:top w:val="single" w:color="auto" w:sz="4" w:space="0"/>
              <w:bottom w:val="single" w:color="auto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theme="minorBidi"/>
                <w:b/>
                <w:bCs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AUC</w:t>
            </w:r>
          </w:p>
        </w:tc>
        <w:tc>
          <w:tcPr>
            <w:tcW w:w="1066" w:type="pct"/>
            <w:tcBorders>
              <w:top w:val="single" w:color="auto" w:sz="4" w:space="0"/>
              <w:bottom w:val="single" w:color="auto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theme="minorBidi"/>
                <w:b/>
                <w:bCs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lang w:val="en-US" w:eastAsia="zh-CN"/>
              </w:rPr>
              <w:t>95%CI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9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ANN</w:t>
            </w:r>
          </w:p>
        </w:tc>
        <w:tc>
          <w:tcPr>
            <w:tcW w:w="813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0.94</w:t>
            </w:r>
          </w:p>
        </w:tc>
        <w:tc>
          <w:tcPr>
            <w:tcW w:w="1066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0.91-0.98</w:t>
            </w:r>
          </w:p>
        </w:tc>
        <w:tc>
          <w:tcPr>
            <w:tcW w:w="813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0.94</w:t>
            </w:r>
          </w:p>
        </w:tc>
        <w:tc>
          <w:tcPr>
            <w:tcW w:w="1066" w:type="pct"/>
            <w:tcBorders>
              <w:top w:val="single" w:color="auto" w:sz="8" w:space="0"/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0.83-1.00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9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eastAsia" w:ascii="Times New Roman" w:hAnsi="Times New Roman" w:eastAsia="宋体" w:cstheme="minorBidi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DT</w:t>
            </w:r>
          </w:p>
        </w:tc>
        <w:tc>
          <w:tcPr>
            <w:tcW w:w="813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eastAsia" w:ascii="Times New Roman" w:hAnsi="Times New Roman" w:eastAsia="宋体" w:cstheme="minorBidi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0.93</w:t>
            </w:r>
          </w:p>
        </w:tc>
        <w:tc>
          <w:tcPr>
            <w:tcW w:w="1066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eastAsia" w:ascii="Times New Roman" w:hAnsi="Times New Roman" w:eastAsia="宋体" w:cstheme="minorBidi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0.90-0.97</w:t>
            </w:r>
          </w:p>
        </w:tc>
        <w:tc>
          <w:tcPr>
            <w:tcW w:w="813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eastAsia" w:ascii="Times New Roman" w:hAnsi="Times New Roman" w:eastAsia="宋体" w:cstheme="minorBidi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0.83</w:t>
            </w:r>
          </w:p>
        </w:tc>
        <w:tc>
          <w:tcPr>
            <w:tcW w:w="1066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eastAsia" w:ascii="Times New Roman" w:hAnsi="Times New Roman" w:eastAsia="宋体" w:cstheme="minorBidi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0.65-1.00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XGBoost</w:t>
            </w:r>
          </w:p>
        </w:tc>
        <w:tc>
          <w:tcPr>
            <w:tcW w:w="813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0.84</w:t>
            </w:r>
          </w:p>
        </w:tc>
        <w:tc>
          <w:tcPr>
            <w:tcW w:w="1066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0.75-0.93</w:t>
            </w:r>
          </w:p>
        </w:tc>
        <w:tc>
          <w:tcPr>
            <w:tcW w:w="813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0.62</w:t>
            </w:r>
          </w:p>
        </w:tc>
        <w:tc>
          <w:tcPr>
            <w:tcW w:w="1066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 w:line="240" w:lineRule="auto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0.42-0.83</w:t>
            </w:r>
          </w:p>
        </w:tc>
      </w:tr>
    </w:tbl>
    <w:p>
      <w:pPr>
        <w:tabs>
          <w:tab w:val="left" w:pos="286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ANN: Artificial Neural Network; </w:t>
      </w:r>
      <w:r>
        <w:rPr>
          <w:rFonts w:hint="eastAsia" w:eastAsia="宋体"/>
          <w:lang w:val="en-US" w:eastAsia="zh-CN"/>
        </w:rPr>
        <w:t>DT: Decision Tree; XGBoost: EXtreme Gradient Boosting.</w:t>
      </w:r>
    </w:p>
    <w:sectPr>
      <w:headerReference r:id="rId6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86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434.15pt;margin-top:726.5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34.15pt;margin-top:724.2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0"/>
  <w:bordersDoNotSurroundFooter w:val="0"/>
  <w:attachedTemplate r:id="rId1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YzNWMwZDNlMTUwZmNjMzY5ZjZhZTNlNjEyNmI3Y2YifQ=="/>
  </w:docVars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0D435D31"/>
    <w:rsid w:val="10E3131F"/>
    <w:rsid w:val="116457F1"/>
    <w:rsid w:val="12C71901"/>
    <w:rsid w:val="12CF298A"/>
    <w:rsid w:val="1F513505"/>
    <w:rsid w:val="2162671C"/>
    <w:rsid w:val="28F16CEB"/>
    <w:rsid w:val="2B605607"/>
    <w:rsid w:val="3D5D192C"/>
    <w:rsid w:val="3EB2553E"/>
    <w:rsid w:val="4F884B11"/>
    <w:rsid w:val="605F4259"/>
    <w:rsid w:val="621D0608"/>
    <w:rsid w:val="63A81AAF"/>
    <w:rsid w:val="69205616"/>
    <w:rsid w:val="693B521D"/>
    <w:rsid w:val="69E403F2"/>
    <w:rsid w:val="712F5C36"/>
    <w:rsid w:val="74441044"/>
    <w:rsid w:val="79495721"/>
    <w:rsid w:val="798E34C2"/>
    <w:rsid w:val="7F24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autoRedefine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autoRedefine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autoRedefine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autoRedefine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autoRedefine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autoRedefine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autoRedefine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autoRedefine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autoRedefine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autoRedefine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autoRedefine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autoRedefine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autoRedefine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autoRedefine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autoRedefine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autoRedefine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autoRedefine/>
    <w:semiHidden/>
    <w:unhideWhenUsed/>
    <w:qFormat/>
    <w:uiPriority w:val="99"/>
    <w:rPr>
      <w:b/>
      <w:bCs/>
    </w:rPr>
  </w:style>
  <w:style w:type="table" w:styleId="21">
    <w:name w:val="Table Grid"/>
    <w:basedOn w:val="20"/>
    <w:autoRedefine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autoRedefine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autoRedefine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autoRedefine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autoRedefine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autoRedefine/>
    <w:semiHidden/>
    <w:unhideWhenUsed/>
    <w:qFormat/>
    <w:uiPriority w:val="99"/>
  </w:style>
  <w:style w:type="character" w:styleId="28">
    <w:name w:val="Hyperlink"/>
    <w:basedOn w:val="22"/>
    <w:autoRedefine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autoRedefine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autoRedefine/>
    <w:semiHidden/>
    <w:unhideWhenUsed/>
    <w:qFormat/>
    <w:uiPriority w:val="99"/>
    <w:rPr>
      <w:vertAlign w:val="superscript"/>
    </w:rPr>
  </w:style>
  <w:style w:type="character" w:customStyle="1" w:styleId="31">
    <w:name w:val="Heading 1 Char"/>
    <w:basedOn w:val="22"/>
    <w:link w:val="2"/>
    <w:autoRedefine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autoRedefine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autoRedefine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autoRedefine/>
    <w:qFormat/>
    <w:uiPriority w:val="1"/>
  </w:style>
  <w:style w:type="character" w:customStyle="1" w:styleId="35">
    <w:name w:val="Balloon Text Char"/>
    <w:basedOn w:val="22"/>
    <w:link w:val="12"/>
    <w:autoRedefine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autoRedefine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autoRedefine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autoRedefine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autoRedefine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autoRedefine/>
    <w:qFormat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autoRedefine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autoRedefine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autoRedefine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autoRedefine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autoRedefine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autoRedefine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autoRedefine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autoRedefine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autoRedefine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autoRedefine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autoRedefine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autoRedefine/>
    <w:qFormat/>
    <w:uiPriority w:val="0"/>
    <w:pPr>
      <w:spacing w:after="120"/>
    </w:pPr>
    <w:rPr>
      <w:i/>
    </w:rPr>
  </w:style>
  <w:style w:type="paragraph" w:customStyle="1" w:styleId="53">
    <w:name w:val="Revision"/>
    <w:autoRedefine/>
    <w:hidden/>
    <w:semiHidden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6.xml"/><Relationship Id="rId20" Type="http://schemas.openxmlformats.org/officeDocument/2006/relationships/customXml" Target="../customXml/item5.xml"/><Relationship Id="rId2" Type="http://schemas.openxmlformats.org/officeDocument/2006/relationships/settings" Target="settings.xml"/><Relationship Id="rId19" Type="http://schemas.openxmlformats.org/officeDocument/2006/relationships/customXml" Target="../customXml/item4.xml"/><Relationship Id="rId18" Type="http://schemas.openxmlformats.org/officeDocument/2006/relationships/customXml" Target="../customXml/item3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5.tiff"/><Relationship Id="rId13" Type="http://schemas.openxmlformats.org/officeDocument/2006/relationships/image" Target="media/image4.tiff"/><Relationship Id="rId12" Type="http://schemas.openxmlformats.org/officeDocument/2006/relationships/image" Target="media/image3.tiff"/><Relationship Id="rId11" Type="http://schemas.openxmlformats.org/officeDocument/2006/relationships/image" Target="media/image2.tiff"/><Relationship Id="rId10" Type="http://schemas.openxmlformats.org/officeDocument/2006/relationships/image" Target="media/image1.tif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/>
</ds:datastoreItem>
</file>

<file path=customXml/itemProps3.xml><?xml version="1.0" encoding="utf-8"?>
<ds:datastoreItem xmlns:ds="http://schemas.openxmlformats.org/officeDocument/2006/customXml" ds:itemID="{114314AF-3C36-4C2C-B599-40A76C6FFFC1}">
  <ds:schemaRefs/>
</ds:datastoreItem>
</file>

<file path=customXml/itemProps4.xml><?xml version="1.0" encoding="utf-8"?>
<ds:datastoreItem xmlns:ds="http://schemas.openxmlformats.org/officeDocument/2006/customXml" ds:itemID="{2558679B-78FB-42CD-A1EA-A99096AF5568}">
  <ds:schemaRefs/>
</ds:datastoreItem>
</file>

<file path=customXml/itemProps5.xml><?xml version="1.0" encoding="utf-8"?>
<ds:datastoreItem xmlns:ds="http://schemas.openxmlformats.org/officeDocument/2006/customXml" ds:itemID="{4B2E0E22-D442-4EBE-AAA2-EDC8871E7B41}">
  <ds:schemaRefs/>
</ds:datastoreItem>
</file>

<file path=customXml/itemProps6.xml><?xml version="1.0" encoding="utf-8"?>
<ds:datastoreItem xmlns:ds="http://schemas.openxmlformats.org/officeDocument/2006/customXml" ds:itemID="{A3D4929F-83D0-432F-8F82-6D4423C25F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7</Pages>
  <Words>315</Words>
  <Characters>1926</Characters>
  <Lines>6</Lines>
  <Paragraphs>1</Paragraphs>
  <TotalTime>0</TotalTime>
  <ScaleCrop>false</ScaleCrop>
  <LinksUpToDate>false</LinksUpToDate>
  <CharactersWithSpaces>2206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Frontiers</dc:creator>
  <cp:lastModifiedBy>沐之兮</cp:lastModifiedBy>
  <cp:lastPrinted>2013-10-03T12:51:00Z</cp:lastPrinted>
  <dcterms:modified xsi:type="dcterms:W3CDTF">2024-06-28T09:47:16Z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ProductBuildVer">
    <vt:lpwstr>2052-12.1.0.16929</vt:lpwstr>
  </property>
  <property fmtid="{D5CDD505-2E9C-101B-9397-08002B2CF9AE}" pid="11" name="ICV">
    <vt:lpwstr>F8F22ADD512948CC9A21FCA7BE12669B_12</vt:lpwstr>
  </property>
</Properties>
</file>