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809" w:rsidRDefault="009F6809" w:rsidP="00FC44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Supplementary Figure:</w:t>
      </w:r>
    </w:p>
    <w:p w:rsidR="00247473" w:rsidRDefault="00247473" w:rsidP="00FC445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5AF1" w:rsidRDefault="00184395" w:rsidP="00FC44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5943600" cy="305336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AF1" w:rsidRDefault="008C5AF1" w:rsidP="00F94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905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845B0">
        <w:rPr>
          <w:rFonts w:ascii="Times New Roman" w:hAnsi="Times New Roman" w:cs="Times New Roman"/>
          <w:b/>
          <w:sz w:val="24"/>
          <w:szCs w:val="24"/>
        </w:rPr>
        <w:t>1.</w:t>
      </w:r>
      <w:r w:rsidRPr="00973A4F">
        <w:rPr>
          <w:rFonts w:ascii="Times New Roman" w:hAnsi="Times New Roman" w:cs="Times New Roman"/>
          <w:sz w:val="24"/>
          <w:szCs w:val="24"/>
        </w:rPr>
        <w:t xml:space="preserve"> </w:t>
      </w:r>
      <w:r w:rsidR="00BE1D2E" w:rsidRPr="00F44A8D">
        <w:rPr>
          <w:rFonts w:ascii="Times New Roman" w:hAnsi="Times New Roman" w:cs="Times New Roman"/>
          <w:sz w:val="24"/>
          <w:szCs w:val="24"/>
        </w:rPr>
        <w:t>The predicted antigenic propensity of the targeted proteins using the Antigenic Peptide Prediction tool is shown as follows: (A) Probable transcriptional regulatory protein, (B) Possible exported protein, (C) PPE family protein PPE41, (D) Conserved threonine-rich protein, and (E) Phospholipase C</w:t>
      </w:r>
      <w:r w:rsidR="002D47F3" w:rsidRPr="00F44A8D">
        <w:rPr>
          <w:rFonts w:ascii="Times New Roman" w:hAnsi="Times New Roman" w:cs="Times New Roman"/>
          <w:sz w:val="24"/>
          <w:szCs w:val="24"/>
        </w:rPr>
        <w:t xml:space="preserve"> A</w:t>
      </w:r>
      <w:r w:rsidR="00BE1D2E" w:rsidRPr="00F44A8D">
        <w:rPr>
          <w:rFonts w:ascii="Times New Roman" w:hAnsi="Times New Roman" w:cs="Times New Roman"/>
          <w:sz w:val="24"/>
          <w:szCs w:val="24"/>
        </w:rPr>
        <w:t xml:space="preserve">. The x-axis represents the sequence number, and the y-axis represents the average antigenic propensity score. The </w:t>
      </w:r>
      <w:r w:rsidR="00212671" w:rsidRPr="00F44A8D">
        <w:rPr>
          <w:rFonts w:ascii="Times New Roman" w:hAnsi="Times New Roman" w:cs="Times New Roman"/>
          <w:sz w:val="24"/>
          <w:szCs w:val="24"/>
        </w:rPr>
        <w:t>average antigenic propensity for all selected proteins was above 1.0.</w:t>
      </w:r>
    </w:p>
    <w:p w:rsidR="00A845B0" w:rsidRDefault="00A845B0" w:rsidP="00A845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lastRenderedPageBreak/>
        <w:drawing>
          <wp:inline distT="0" distB="0" distL="0" distR="0" wp14:anchorId="78598A17" wp14:editId="1E139A54">
            <wp:extent cx="5943600" cy="2812768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5B0" w:rsidRDefault="00A845B0" w:rsidP="00A845B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5B0" w:rsidRDefault="00A845B0" w:rsidP="002444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905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444C1" w:rsidRPr="00F44A8D">
        <w:rPr>
          <w:rFonts w:ascii="Times New Roman" w:hAnsi="Times New Roman" w:cs="Times New Roman"/>
          <w:sz w:val="24"/>
          <w:szCs w:val="24"/>
        </w:rPr>
        <w:t xml:space="preserve">Structural analysis of the selected five proteins by the </w:t>
      </w:r>
      <w:proofErr w:type="spellStart"/>
      <w:r w:rsidR="002444C1" w:rsidRPr="00F44A8D">
        <w:rPr>
          <w:rFonts w:ascii="Times New Roman" w:hAnsi="Times New Roman" w:cs="Times New Roman"/>
          <w:sz w:val="24"/>
          <w:szCs w:val="24"/>
        </w:rPr>
        <w:t>AlphaFold</w:t>
      </w:r>
      <w:proofErr w:type="spellEnd"/>
      <w:r w:rsidR="002444C1" w:rsidRPr="00F44A8D">
        <w:rPr>
          <w:rFonts w:ascii="Times New Roman" w:hAnsi="Times New Roman" w:cs="Times New Roman"/>
          <w:sz w:val="24"/>
          <w:szCs w:val="24"/>
        </w:rPr>
        <w:t xml:space="preserve"> program. (A) Probable transcriptional regulatory protein (B) Possible exported protein (C) PPE family protein PPE41, (D) Conserved threonine</w:t>
      </w:r>
      <w:r w:rsidR="005B54E9" w:rsidRPr="00F44A8D">
        <w:rPr>
          <w:rFonts w:ascii="Times New Roman" w:hAnsi="Times New Roman" w:cs="Times New Roman"/>
          <w:sz w:val="24"/>
          <w:szCs w:val="24"/>
        </w:rPr>
        <w:t>-</w:t>
      </w:r>
      <w:r w:rsidR="002444C1" w:rsidRPr="00F44A8D">
        <w:rPr>
          <w:rFonts w:ascii="Times New Roman" w:hAnsi="Times New Roman" w:cs="Times New Roman"/>
          <w:sz w:val="24"/>
          <w:szCs w:val="24"/>
        </w:rPr>
        <w:t xml:space="preserve">rich protein, (E) Phospholipase C 1. The </w:t>
      </w:r>
      <w:proofErr w:type="spellStart"/>
      <w:r w:rsidR="002444C1" w:rsidRPr="00F44A8D">
        <w:rPr>
          <w:rFonts w:ascii="Times New Roman" w:hAnsi="Times New Roman" w:cs="Times New Roman"/>
          <w:sz w:val="24"/>
          <w:szCs w:val="24"/>
        </w:rPr>
        <w:t>AlphaFold</w:t>
      </w:r>
      <w:proofErr w:type="spellEnd"/>
      <w:r w:rsidR="002444C1" w:rsidRPr="00F44A8D">
        <w:rPr>
          <w:rFonts w:ascii="Times New Roman" w:hAnsi="Times New Roman" w:cs="Times New Roman"/>
          <w:sz w:val="24"/>
          <w:szCs w:val="24"/>
        </w:rPr>
        <w:t xml:space="preserve"> matrix shows the expected position error for each residue in the sequence.</w:t>
      </w:r>
    </w:p>
    <w:p w:rsidR="008F5A2E" w:rsidRDefault="008F5A2E" w:rsidP="00F94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52762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905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33D02" w:rsidRPr="00F44A8D">
        <w:rPr>
          <w:rFonts w:ascii="Times New Roman" w:hAnsi="Times New Roman" w:cs="Times New Roman"/>
          <w:sz w:val="24"/>
          <w:szCs w:val="24"/>
        </w:rPr>
        <w:t xml:space="preserve">Predicted secondary structure of the multi-epitope vaccine construct: (A Secondary structure prediction from GOR IV, showing alpha helices in </w:t>
      </w:r>
      <w:r w:rsidR="002444C1" w:rsidRPr="00F44A8D">
        <w:rPr>
          <w:rFonts w:ascii="Times New Roman" w:hAnsi="Times New Roman" w:cs="Times New Roman"/>
          <w:sz w:val="24"/>
          <w:szCs w:val="24"/>
        </w:rPr>
        <w:t>pink</w:t>
      </w:r>
      <w:r w:rsidR="00E33D02" w:rsidRPr="00F44A8D">
        <w:rPr>
          <w:rFonts w:ascii="Times New Roman" w:hAnsi="Times New Roman" w:cs="Times New Roman"/>
          <w:sz w:val="24"/>
          <w:szCs w:val="24"/>
        </w:rPr>
        <w:t xml:space="preserve">, random coils in </w:t>
      </w:r>
      <w:r w:rsidR="002444C1" w:rsidRPr="00F44A8D">
        <w:rPr>
          <w:rFonts w:ascii="Times New Roman" w:hAnsi="Times New Roman" w:cs="Times New Roman"/>
          <w:sz w:val="24"/>
          <w:szCs w:val="24"/>
        </w:rPr>
        <w:t>grey</w:t>
      </w:r>
      <w:r w:rsidR="00E33D02" w:rsidRPr="00F44A8D">
        <w:rPr>
          <w:rFonts w:ascii="Times New Roman" w:hAnsi="Times New Roman" w:cs="Times New Roman"/>
          <w:sz w:val="24"/>
          <w:szCs w:val="24"/>
        </w:rPr>
        <w:t>, and extended strands in</w:t>
      </w:r>
      <w:r w:rsidR="002444C1" w:rsidRPr="00F44A8D">
        <w:rPr>
          <w:rFonts w:ascii="Times New Roman" w:hAnsi="Times New Roman" w:cs="Times New Roman"/>
          <w:sz w:val="24"/>
          <w:szCs w:val="24"/>
        </w:rPr>
        <w:t xml:space="preserve"> yellow (B) Graphical representation of the secondary structure generated by the PSIPRED server.</w:t>
      </w:r>
    </w:p>
    <w:p w:rsidR="00327495" w:rsidRDefault="00327495" w:rsidP="00A845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29419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ydrogen-bond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A2E" w:rsidRDefault="00327495" w:rsidP="00F94D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6874252"/>
      <w:r w:rsidRPr="00682905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4A8D">
        <w:rPr>
          <w:rFonts w:ascii="Times New Roman" w:hAnsi="Times New Roman" w:cs="Times New Roman"/>
          <w:sz w:val="24"/>
          <w:szCs w:val="24"/>
        </w:rPr>
        <w:t xml:space="preserve">Hydrogen </w:t>
      </w:r>
      <w:r w:rsidR="00C31267" w:rsidRPr="00F44A8D">
        <w:rPr>
          <w:rFonts w:ascii="Times New Roman" w:hAnsi="Times New Roman" w:cs="Times New Roman"/>
          <w:sz w:val="24"/>
          <w:szCs w:val="24"/>
        </w:rPr>
        <w:t>bond analysis</w:t>
      </w:r>
      <w:r w:rsidRPr="00F44A8D">
        <w:rPr>
          <w:rFonts w:ascii="Times New Roman" w:hAnsi="Times New Roman" w:cs="Times New Roman"/>
          <w:sz w:val="24"/>
          <w:szCs w:val="24"/>
        </w:rPr>
        <w:t xml:space="preserve"> of the vaccine receptors complexes. (</w:t>
      </w:r>
      <w:r w:rsidR="000A1952" w:rsidRPr="00F44A8D">
        <w:rPr>
          <w:rFonts w:ascii="Times New Roman" w:hAnsi="Times New Roman" w:cs="Times New Roman"/>
          <w:sz w:val="24"/>
          <w:szCs w:val="24"/>
        </w:rPr>
        <w:t>A</w:t>
      </w:r>
      <w:r w:rsidRPr="00F44A8D">
        <w:rPr>
          <w:rFonts w:ascii="Times New Roman" w:hAnsi="Times New Roman" w:cs="Times New Roman"/>
          <w:sz w:val="24"/>
          <w:szCs w:val="24"/>
        </w:rPr>
        <w:t>)Vaccine-TLR2</w:t>
      </w:r>
      <w:r w:rsidRPr="00F44A8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4A8D">
        <w:rPr>
          <w:rFonts w:ascii="Times New Roman" w:hAnsi="Times New Roman" w:cs="Times New Roman"/>
          <w:sz w:val="24"/>
          <w:szCs w:val="24"/>
        </w:rPr>
        <w:t>complex</w:t>
      </w:r>
      <w:r w:rsidR="00817485" w:rsidRPr="00F44A8D">
        <w:rPr>
          <w:rFonts w:ascii="Times New Roman" w:hAnsi="Times New Roman" w:cs="Times New Roman"/>
          <w:sz w:val="24"/>
          <w:szCs w:val="24"/>
        </w:rPr>
        <w:t xml:space="preserve"> (green)</w:t>
      </w:r>
      <w:r w:rsidRPr="00F44A8D">
        <w:rPr>
          <w:rFonts w:ascii="Times New Roman" w:hAnsi="Times New Roman" w:cs="Times New Roman"/>
          <w:sz w:val="24"/>
          <w:szCs w:val="24"/>
        </w:rPr>
        <w:t xml:space="preserve"> (</w:t>
      </w:r>
      <w:r w:rsidR="000A1952" w:rsidRPr="00F44A8D">
        <w:rPr>
          <w:rFonts w:ascii="Times New Roman" w:hAnsi="Times New Roman" w:cs="Times New Roman"/>
          <w:sz w:val="24"/>
          <w:szCs w:val="24"/>
        </w:rPr>
        <w:t>B</w:t>
      </w:r>
      <w:r w:rsidRPr="00F44A8D">
        <w:rPr>
          <w:rFonts w:ascii="Times New Roman" w:hAnsi="Times New Roman" w:cs="Times New Roman"/>
          <w:sz w:val="24"/>
          <w:szCs w:val="24"/>
        </w:rPr>
        <w:t>) Vaccine-TLR3 complex</w:t>
      </w:r>
      <w:r w:rsidR="00817485" w:rsidRPr="00F44A8D">
        <w:rPr>
          <w:rFonts w:ascii="Times New Roman" w:hAnsi="Times New Roman" w:cs="Times New Roman"/>
          <w:sz w:val="24"/>
          <w:szCs w:val="24"/>
        </w:rPr>
        <w:t xml:space="preserve"> (cyan)</w:t>
      </w:r>
      <w:r w:rsidRPr="00F44A8D">
        <w:rPr>
          <w:rFonts w:ascii="Times New Roman" w:hAnsi="Times New Roman" w:cs="Times New Roman"/>
          <w:sz w:val="24"/>
          <w:szCs w:val="24"/>
        </w:rPr>
        <w:t>.</w:t>
      </w:r>
    </w:p>
    <w:p w:rsidR="00787400" w:rsidRDefault="00787400" w:rsidP="00A845B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5943600" cy="19373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1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5B0" w:rsidRPr="00973A4F" w:rsidRDefault="00A845B0" w:rsidP="00973A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AF1" w:rsidRDefault="00787400" w:rsidP="00F94D79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2905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78175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25430D" w:rsidRPr="00F44A8D">
        <w:rPr>
          <w:rFonts w:ascii="Times New Roman" w:hAnsi="Times New Roman" w:cs="Times New Roman"/>
          <w:sz w:val="24"/>
          <w:szCs w:val="24"/>
        </w:rPr>
        <w:t>The population coverage of the final multi-epitope vaccine construct was evaluated globally using the population coverage analysis tool from the IEDB database.</w:t>
      </w:r>
    </w:p>
    <w:p w:rsidR="001D5291" w:rsidRDefault="001D5291" w:rsidP="00C60524">
      <w:pPr>
        <w:jc w:val="both"/>
      </w:pPr>
    </w:p>
    <w:sectPr w:rsidR="001D5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Mbc0NrcwMTM2srRQ0lEKTi0uzszPAykwrAUAIpbboSwAAAA="/>
  </w:docVars>
  <w:rsids>
    <w:rsidRoot w:val="00FC4453"/>
    <w:rsid w:val="0004766D"/>
    <w:rsid w:val="00050476"/>
    <w:rsid w:val="000A1952"/>
    <w:rsid w:val="001427F5"/>
    <w:rsid w:val="00184395"/>
    <w:rsid w:val="001D0C50"/>
    <w:rsid w:val="001D5291"/>
    <w:rsid w:val="00212671"/>
    <w:rsid w:val="002444C1"/>
    <w:rsid w:val="00247473"/>
    <w:rsid w:val="00252BAA"/>
    <w:rsid w:val="0025430D"/>
    <w:rsid w:val="00260D26"/>
    <w:rsid w:val="002D47F3"/>
    <w:rsid w:val="002F6781"/>
    <w:rsid w:val="00313330"/>
    <w:rsid w:val="00327495"/>
    <w:rsid w:val="00462583"/>
    <w:rsid w:val="004D1BD1"/>
    <w:rsid w:val="004E3EE9"/>
    <w:rsid w:val="005B54E9"/>
    <w:rsid w:val="00662B97"/>
    <w:rsid w:val="00681147"/>
    <w:rsid w:val="00750E89"/>
    <w:rsid w:val="00761FA9"/>
    <w:rsid w:val="00787400"/>
    <w:rsid w:val="00817485"/>
    <w:rsid w:val="008C5AF1"/>
    <w:rsid w:val="008F5A2E"/>
    <w:rsid w:val="00925B15"/>
    <w:rsid w:val="00973A4F"/>
    <w:rsid w:val="009E3AA8"/>
    <w:rsid w:val="009F6809"/>
    <w:rsid w:val="00A27FAA"/>
    <w:rsid w:val="00A4446C"/>
    <w:rsid w:val="00A845B0"/>
    <w:rsid w:val="00AA3695"/>
    <w:rsid w:val="00BE1D2E"/>
    <w:rsid w:val="00BE2C2A"/>
    <w:rsid w:val="00C06F73"/>
    <w:rsid w:val="00C31267"/>
    <w:rsid w:val="00C60524"/>
    <w:rsid w:val="00C87D07"/>
    <w:rsid w:val="00CC1B50"/>
    <w:rsid w:val="00D245E6"/>
    <w:rsid w:val="00DF035F"/>
    <w:rsid w:val="00E06A98"/>
    <w:rsid w:val="00E14737"/>
    <w:rsid w:val="00E33D02"/>
    <w:rsid w:val="00EB34A9"/>
    <w:rsid w:val="00EC616C"/>
    <w:rsid w:val="00F44A8D"/>
    <w:rsid w:val="00F94D79"/>
    <w:rsid w:val="00F96568"/>
    <w:rsid w:val="00FC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CAAD9-DC65-4FB7-B10C-E9F76ACD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D1"/>
    <w:pPr>
      <w:widowControl w:val="0"/>
      <w:wordWrap w:val="0"/>
      <w:autoSpaceDE w:val="0"/>
      <w:autoSpaceDN w:val="0"/>
      <w:ind w:leftChars="400" w:left="800"/>
      <w:jc w:val="both"/>
    </w:pPr>
    <w:rPr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0B4AA-7EA2-4F70-9BEE-ED04AF4E2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210</Words>
  <Characters>1336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Guneswar</dc:creator>
  <cp:keywords/>
  <dc:description/>
  <cp:lastModifiedBy>user</cp:lastModifiedBy>
  <cp:revision>10</cp:revision>
  <dcterms:created xsi:type="dcterms:W3CDTF">2024-05-21T10:34:00Z</dcterms:created>
  <dcterms:modified xsi:type="dcterms:W3CDTF">2024-05-26T11:41:00Z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10bc2ce1a594026e5b07e461004410a1a60f2fa8a6863edf23de19c2fee80293</vt:lpwstr>
  </property>
</Properties>
</file>