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58454" w14:textId="12D2DD95" w:rsidR="001A3B36" w:rsidRDefault="00104C1B" w:rsidP="00104C1B">
      <w:pPr>
        <w:spacing w:line="480" w:lineRule="auto"/>
        <w:rPr>
          <w:rFonts w:ascii="Times New Roman" w:hAnsi="Times New Roman" w:cs="Times New Roman"/>
          <w:sz w:val="24"/>
        </w:rPr>
      </w:pPr>
      <w:r w:rsidRPr="00104C1B">
        <w:rPr>
          <w:rFonts w:ascii="Times New Roman" w:hAnsi="Times New Roman" w:cs="Times New Roman"/>
          <w:b/>
          <w:sz w:val="24"/>
        </w:rPr>
        <w:t xml:space="preserve">Supplementary figure 1. </w:t>
      </w:r>
      <w:r>
        <w:rPr>
          <w:rFonts w:ascii="Times New Roman" w:hAnsi="Times New Roman" w:cs="Times New Roman"/>
          <w:sz w:val="24"/>
        </w:rPr>
        <w:t xml:space="preserve">The </w:t>
      </w:r>
      <w:r w:rsidRPr="00104C1B">
        <w:rPr>
          <w:rFonts w:ascii="Times New Roman" w:hAnsi="Times New Roman" w:cs="Times New Roman"/>
          <w:sz w:val="24"/>
        </w:rPr>
        <w:t>Principal component analysis</w:t>
      </w:r>
      <w:r>
        <w:rPr>
          <w:rFonts w:ascii="Times New Roman" w:hAnsi="Times New Roman" w:cs="Times New Roman"/>
          <w:sz w:val="24"/>
        </w:rPr>
        <w:t xml:space="preserve"> (PCA)</w:t>
      </w:r>
      <w:r w:rsidRPr="00104C1B">
        <w:rPr>
          <w:rFonts w:ascii="Times New Roman" w:hAnsi="Times New Roman" w:cs="Times New Roman"/>
          <w:sz w:val="24"/>
        </w:rPr>
        <w:t xml:space="preserve"> showed that the HCM and Normal samples segregated patients well in the GSE36961 dataset.</w:t>
      </w:r>
    </w:p>
    <w:p w14:paraId="3E8B52B4" w14:textId="0270AEDD" w:rsidR="006D0E73" w:rsidRPr="00104C1B" w:rsidRDefault="006D0E73" w:rsidP="00104C1B">
      <w:pPr>
        <w:spacing w:line="480" w:lineRule="auto"/>
        <w:rPr>
          <w:rFonts w:ascii="Times New Roman" w:hAnsi="Times New Roman" w:cs="Times New Roman" w:hint="eastAsia"/>
          <w:sz w:val="24"/>
        </w:rPr>
      </w:pPr>
      <w:r w:rsidRPr="00104C1B">
        <w:rPr>
          <w:rFonts w:ascii="Times New Roman" w:hAnsi="Times New Roman" w:cs="Times New Roman"/>
          <w:b/>
          <w:sz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</w:rPr>
        <w:t>2</w:t>
      </w:r>
      <w:r w:rsidRPr="00104C1B">
        <w:rPr>
          <w:rFonts w:ascii="Times New Roman" w:hAnsi="Times New Roman" w:cs="Times New Roman"/>
          <w:b/>
          <w:sz w:val="24"/>
        </w:rPr>
        <w:t xml:space="preserve">. </w:t>
      </w:r>
      <w:bookmarkStart w:id="0" w:name="_GoBack"/>
      <w:bookmarkEnd w:id="0"/>
      <w:r w:rsidRPr="006D0E73">
        <w:rPr>
          <w:rFonts w:ascii="Times New Roman" w:hAnsi="Times New Roman" w:cs="Times New Roman"/>
          <w:sz w:val="24"/>
        </w:rPr>
        <w:t>The PPI network of genes in the turquoise module.</w:t>
      </w:r>
    </w:p>
    <w:p w14:paraId="611ED4BB" w14:textId="540C3499" w:rsidR="00104C1B" w:rsidRPr="00104C1B" w:rsidRDefault="00104C1B" w:rsidP="00104C1B">
      <w:pPr>
        <w:spacing w:line="480" w:lineRule="auto"/>
        <w:rPr>
          <w:rFonts w:ascii="Times New Roman" w:hAnsi="Times New Roman" w:cs="Times New Roman"/>
          <w:sz w:val="24"/>
        </w:rPr>
      </w:pPr>
      <w:r w:rsidRPr="00104C1B">
        <w:rPr>
          <w:rFonts w:ascii="Times New Roman" w:hAnsi="Times New Roman" w:cs="Times New Roman"/>
          <w:b/>
          <w:sz w:val="24"/>
        </w:rPr>
        <w:t xml:space="preserve">Supplementary figure </w:t>
      </w:r>
      <w:r w:rsidR="006D0E73">
        <w:rPr>
          <w:rFonts w:ascii="Times New Roman" w:hAnsi="Times New Roman" w:cs="Times New Roman"/>
          <w:b/>
          <w:sz w:val="24"/>
        </w:rPr>
        <w:t>3</w:t>
      </w:r>
      <w:r w:rsidRPr="00104C1B">
        <w:rPr>
          <w:rFonts w:ascii="Times New Roman" w:hAnsi="Times New Roman" w:cs="Times New Roman"/>
          <w:b/>
          <w:sz w:val="24"/>
        </w:rPr>
        <w:t>.</w:t>
      </w:r>
      <w:r w:rsidRPr="00104C1B">
        <w:rPr>
          <w:rFonts w:ascii="Times New Roman" w:hAnsi="Times New Roman" w:cs="Times New Roman"/>
          <w:sz w:val="24"/>
        </w:rPr>
        <w:t xml:space="preserve"> Based on the GSE141910 dataset to validate the expression levels of the key genes screened.</w:t>
      </w:r>
      <w:r w:rsidRPr="00104C1B">
        <w:t xml:space="preserve"> </w:t>
      </w:r>
      <w:r>
        <w:rPr>
          <w:rFonts w:ascii="Times New Roman" w:hAnsi="Times New Roman" w:cs="Times New Roman"/>
          <w:sz w:val="24"/>
        </w:rPr>
        <w:t>(A-C) D</w:t>
      </w:r>
      <w:r w:rsidRPr="00104C1B">
        <w:rPr>
          <w:rFonts w:ascii="Times New Roman" w:hAnsi="Times New Roman" w:cs="Times New Roman"/>
          <w:sz w:val="24"/>
        </w:rPr>
        <w:t>ifferential analysis of expression levels of FCN3</w:t>
      </w:r>
      <w:r>
        <w:rPr>
          <w:rFonts w:ascii="Times New Roman" w:hAnsi="Times New Roman" w:cs="Times New Roman"/>
          <w:sz w:val="24"/>
        </w:rPr>
        <w:t xml:space="preserve"> (A)</w:t>
      </w:r>
      <w:r w:rsidRPr="00104C1B">
        <w:rPr>
          <w:rFonts w:ascii="Times New Roman" w:hAnsi="Times New Roman" w:cs="Times New Roman"/>
          <w:sz w:val="24"/>
        </w:rPr>
        <w:t>, MYH6</w:t>
      </w:r>
      <w:r>
        <w:rPr>
          <w:rFonts w:ascii="Times New Roman" w:hAnsi="Times New Roman" w:cs="Times New Roman"/>
          <w:sz w:val="24"/>
        </w:rPr>
        <w:t xml:space="preserve"> (B)</w:t>
      </w:r>
      <w:r w:rsidRPr="00104C1B">
        <w:rPr>
          <w:rFonts w:ascii="Times New Roman" w:hAnsi="Times New Roman" w:cs="Times New Roman"/>
          <w:sz w:val="24"/>
        </w:rPr>
        <w:t xml:space="preserve"> and RASD1</w:t>
      </w:r>
      <w:r>
        <w:rPr>
          <w:rFonts w:ascii="Times New Roman" w:hAnsi="Times New Roman" w:cs="Times New Roman"/>
          <w:sz w:val="24"/>
        </w:rPr>
        <w:t xml:space="preserve"> (C)</w:t>
      </w:r>
      <w:r w:rsidRPr="00104C1B">
        <w:rPr>
          <w:rFonts w:ascii="Times New Roman" w:hAnsi="Times New Roman" w:cs="Times New Roman"/>
          <w:sz w:val="24"/>
        </w:rPr>
        <w:t xml:space="preserve"> between HCM and control samples in the GSE141910 dataset.</w:t>
      </w:r>
    </w:p>
    <w:sectPr w:rsidR="00104C1B" w:rsidRPr="00104C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03266" w14:textId="77777777" w:rsidR="00CC6D30" w:rsidRDefault="00CC6D30" w:rsidP="00104C1B">
      <w:r>
        <w:separator/>
      </w:r>
    </w:p>
  </w:endnote>
  <w:endnote w:type="continuationSeparator" w:id="0">
    <w:p w14:paraId="0FEFD6DA" w14:textId="77777777" w:rsidR="00CC6D30" w:rsidRDefault="00CC6D30" w:rsidP="00104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ED256" w14:textId="77777777" w:rsidR="00CC6D30" w:rsidRDefault="00CC6D30" w:rsidP="00104C1B">
      <w:r>
        <w:separator/>
      </w:r>
    </w:p>
  </w:footnote>
  <w:footnote w:type="continuationSeparator" w:id="0">
    <w:p w14:paraId="5698B819" w14:textId="77777777" w:rsidR="00CC6D30" w:rsidRDefault="00CC6D30" w:rsidP="00104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E0"/>
    <w:rsid w:val="00104C1B"/>
    <w:rsid w:val="001A3B36"/>
    <w:rsid w:val="00376775"/>
    <w:rsid w:val="006D0E73"/>
    <w:rsid w:val="00B167E0"/>
    <w:rsid w:val="00CC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15AE5A"/>
  <w15:chartTrackingRefBased/>
  <w15:docId w15:val="{9EA6DCA1-CF4C-4513-8334-84C73DC4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4C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4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4C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2024-06-13T03:35:00Z</dcterms:created>
  <dcterms:modified xsi:type="dcterms:W3CDTF">2024-06-13T04:06:00Z</dcterms:modified>
</cp:coreProperties>
</file>