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33BE8">
      <w:pPr>
        <w:jc w:val="center"/>
        <w:rPr>
          <w:color w:val="auto"/>
        </w:rPr>
      </w:pPr>
      <w:bookmarkStart w:id="0" w:name="_GoBack"/>
      <w:r>
        <w:rPr>
          <w:color w:val="auto"/>
        </w:rPr>
        <w:t xml:space="preserve">Table S2 </w:t>
      </w:r>
      <w:r>
        <w:rPr>
          <w:rFonts w:hint="eastAsia"/>
          <w:color w:val="auto"/>
        </w:rPr>
        <w:t>Comparison</w:t>
      </w:r>
      <w:r>
        <w:rPr>
          <w:color w:val="auto"/>
        </w:rPr>
        <w:t xml:space="preserve"> between the high </w:t>
      </w:r>
      <w:r>
        <w:rPr>
          <w:rFonts w:hint="eastAsia"/>
          <w:color w:val="auto"/>
        </w:rPr>
        <w:t>LNR</w:t>
      </w:r>
      <w:r>
        <w:rPr>
          <w:color w:val="auto"/>
        </w:rPr>
        <w:t xml:space="preserve"> group and the low </w:t>
      </w:r>
      <w:r>
        <w:rPr>
          <w:rFonts w:hint="eastAsia"/>
          <w:color w:val="auto"/>
        </w:rPr>
        <w:t>LNR</w:t>
      </w:r>
      <w:r>
        <w:rPr>
          <w:color w:val="auto"/>
        </w:rPr>
        <w:t xml:space="preserve"> group in colon cancer patients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2"/>
        <w:gridCol w:w="2268"/>
        <w:gridCol w:w="2268"/>
        <w:gridCol w:w="1003"/>
      </w:tblGrid>
      <w:tr w14:paraId="3B959A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2" w:type="dxa"/>
            <w:tcBorders>
              <w:top w:val="single" w:color="auto" w:sz="4" w:space="0"/>
              <w:bottom w:val="single" w:color="auto" w:sz="4" w:space="0"/>
            </w:tcBorders>
          </w:tcPr>
          <w:p w14:paraId="0AE805CF">
            <w:pPr>
              <w:rPr>
                <w:color w:val="auto"/>
              </w:rPr>
            </w:pPr>
            <w:r>
              <w:rPr>
                <w:color w:val="auto"/>
              </w:rPr>
              <w:t>Characteristics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2338F86">
            <w:pPr>
              <w:rPr>
                <w:color w:val="auto"/>
              </w:rPr>
            </w:pPr>
            <w:r>
              <w:rPr>
                <w:color w:val="auto"/>
              </w:rPr>
              <w:t xml:space="preserve">Low </w:t>
            </w:r>
            <w:r>
              <w:rPr>
                <w:rFonts w:hint="eastAsia"/>
                <w:color w:val="auto"/>
              </w:rPr>
              <w:t>LNR</w:t>
            </w:r>
            <w:r>
              <w:rPr>
                <w:color w:val="auto"/>
              </w:rPr>
              <w:t xml:space="preserve"> (384)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F15B96F">
            <w:pPr>
              <w:rPr>
                <w:color w:val="auto"/>
              </w:rPr>
            </w:pPr>
            <w:r>
              <w:rPr>
                <w:color w:val="auto"/>
              </w:rPr>
              <w:t xml:space="preserve">High </w:t>
            </w:r>
            <w:r>
              <w:rPr>
                <w:rFonts w:hint="eastAsia"/>
                <w:color w:val="auto"/>
              </w:rPr>
              <w:t>LNR</w:t>
            </w:r>
            <w:r>
              <w:rPr>
                <w:color w:val="auto"/>
              </w:rPr>
              <w:t xml:space="preserve"> (287)</w:t>
            </w:r>
          </w:p>
        </w:tc>
        <w:tc>
          <w:tcPr>
            <w:tcW w:w="1003" w:type="dxa"/>
            <w:tcBorders>
              <w:top w:val="single" w:color="auto" w:sz="4" w:space="0"/>
              <w:bottom w:val="single" w:color="auto" w:sz="4" w:space="0"/>
            </w:tcBorders>
          </w:tcPr>
          <w:p w14:paraId="4F77A22E">
            <w:pPr>
              <w:rPr>
                <w:color w:val="auto"/>
              </w:rPr>
            </w:pPr>
            <w:r>
              <w:rPr>
                <w:color w:val="auto"/>
              </w:rPr>
              <w:t>P value</w:t>
            </w:r>
          </w:p>
        </w:tc>
      </w:tr>
      <w:tr w14:paraId="4798BA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2" w:type="dxa"/>
            <w:tcBorders>
              <w:top w:val="single" w:color="auto" w:sz="4" w:space="0"/>
              <w:bottom w:val="nil"/>
            </w:tcBorders>
          </w:tcPr>
          <w:p w14:paraId="2E133875">
            <w:pPr>
              <w:rPr>
                <w:color w:val="auto"/>
              </w:rPr>
            </w:pPr>
            <w:r>
              <w:rPr>
                <w:color w:val="auto"/>
              </w:rPr>
              <w:t>Age, year</w:t>
            </w:r>
          </w:p>
        </w:tc>
        <w:tc>
          <w:tcPr>
            <w:tcW w:w="2268" w:type="dxa"/>
            <w:tcBorders>
              <w:top w:val="single" w:color="auto" w:sz="4" w:space="0"/>
              <w:bottom w:val="nil"/>
            </w:tcBorders>
          </w:tcPr>
          <w:p w14:paraId="3269A105">
            <w:pPr>
              <w:rPr>
                <w:color w:val="auto"/>
              </w:rPr>
            </w:pPr>
            <w:r>
              <w:rPr>
                <w:color w:val="auto"/>
              </w:rPr>
              <w:t>63.1 ± 12.6</w:t>
            </w:r>
          </w:p>
        </w:tc>
        <w:tc>
          <w:tcPr>
            <w:tcW w:w="2268" w:type="dxa"/>
            <w:tcBorders>
              <w:top w:val="single" w:color="auto" w:sz="4" w:space="0"/>
              <w:bottom w:val="nil"/>
            </w:tcBorders>
          </w:tcPr>
          <w:p w14:paraId="1952FF5B">
            <w:pPr>
              <w:rPr>
                <w:color w:val="auto"/>
              </w:rPr>
            </w:pPr>
            <w:r>
              <w:rPr>
                <w:color w:val="auto"/>
              </w:rPr>
              <w:t>65.2 ± 13.4</w:t>
            </w:r>
          </w:p>
        </w:tc>
        <w:tc>
          <w:tcPr>
            <w:tcW w:w="1003" w:type="dxa"/>
            <w:tcBorders>
              <w:top w:val="single" w:color="auto" w:sz="4" w:space="0"/>
              <w:bottom w:val="nil"/>
            </w:tcBorders>
          </w:tcPr>
          <w:p w14:paraId="201B04ED">
            <w:pPr>
              <w:rPr>
                <w:color w:val="auto"/>
              </w:rPr>
            </w:pPr>
            <w:r>
              <w:rPr>
                <w:color w:val="auto"/>
              </w:rPr>
              <w:t>0.039*</w:t>
            </w:r>
          </w:p>
        </w:tc>
      </w:tr>
      <w:tr w14:paraId="49F9FC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2" w:type="dxa"/>
            <w:tcBorders>
              <w:top w:val="nil"/>
            </w:tcBorders>
          </w:tcPr>
          <w:p w14:paraId="7A28D5DE">
            <w:pPr>
              <w:rPr>
                <w:color w:val="auto"/>
              </w:rPr>
            </w:pPr>
            <w:r>
              <w:rPr>
                <w:color w:val="auto"/>
              </w:rPr>
              <w:t xml:space="preserve">Sex </w:t>
            </w:r>
          </w:p>
          <w:p w14:paraId="0BA1B0B8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>Male</w:t>
            </w:r>
          </w:p>
          <w:p w14:paraId="75606703">
            <w:pPr>
              <w:rPr>
                <w:color w:val="auto"/>
              </w:rPr>
            </w:pPr>
            <w:r>
              <w:rPr>
                <w:color w:val="auto"/>
              </w:rPr>
              <w:t xml:space="preserve"> Female</w:t>
            </w:r>
          </w:p>
        </w:tc>
        <w:tc>
          <w:tcPr>
            <w:tcW w:w="2268" w:type="dxa"/>
            <w:tcBorders>
              <w:top w:val="nil"/>
            </w:tcBorders>
          </w:tcPr>
          <w:p w14:paraId="15EBE4B2">
            <w:pPr>
              <w:rPr>
                <w:color w:val="auto"/>
              </w:rPr>
            </w:pPr>
          </w:p>
          <w:p w14:paraId="15B12F46">
            <w:pPr>
              <w:rPr>
                <w:color w:val="auto"/>
              </w:rPr>
            </w:pPr>
            <w:r>
              <w:rPr>
                <w:color w:val="auto"/>
              </w:rPr>
              <w:t>198 (57.2%)</w:t>
            </w:r>
          </w:p>
          <w:p w14:paraId="0E5CD54E">
            <w:pPr>
              <w:rPr>
                <w:color w:val="auto"/>
              </w:rPr>
            </w:pPr>
            <w:r>
              <w:rPr>
                <w:color w:val="auto"/>
              </w:rPr>
              <w:t>186 (42.8%)</w:t>
            </w:r>
          </w:p>
        </w:tc>
        <w:tc>
          <w:tcPr>
            <w:tcW w:w="2268" w:type="dxa"/>
            <w:tcBorders>
              <w:top w:val="nil"/>
            </w:tcBorders>
          </w:tcPr>
          <w:p w14:paraId="496F4328">
            <w:pPr>
              <w:rPr>
                <w:color w:val="auto"/>
              </w:rPr>
            </w:pPr>
          </w:p>
          <w:p w14:paraId="4C702E3F">
            <w:pPr>
              <w:rPr>
                <w:color w:val="auto"/>
              </w:rPr>
            </w:pPr>
            <w:r>
              <w:rPr>
                <w:color w:val="auto"/>
              </w:rPr>
              <w:t>143 (55.0%)</w:t>
            </w:r>
          </w:p>
          <w:p w14:paraId="1A6FC484">
            <w:pPr>
              <w:rPr>
                <w:color w:val="auto"/>
              </w:rPr>
            </w:pPr>
            <w:r>
              <w:rPr>
                <w:color w:val="auto"/>
              </w:rPr>
              <w:t>144 (45.0%)</w:t>
            </w:r>
          </w:p>
        </w:tc>
        <w:tc>
          <w:tcPr>
            <w:tcW w:w="1003" w:type="dxa"/>
            <w:tcBorders>
              <w:top w:val="nil"/>
            </w:tcBorders>
          </w:tcPr>
          <w:p w14:paraId="4CD2B1C0">
            <w:pPr>
              <w:rPr>
                <w:color w:val="auto"/>
              </w:rPr>
            </w:pPr>
            <w:r>
              <w:rPr>
                <w:color w:val="auto"/>
              </w:rPr>
              <w:t>0.656</w:t>
            </w:r>
          </w:p>
        </w:tc>
      </w:tr>
      <w:tr w14:paraId="0E98CE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2" w:type="dxa"/>
          </w:tcPr>
          <w:p w14:paraId="165D52DB">
            <w:pPr>
              <w:rPr>
                <w:color w:val="auto"/>
              </w:rPr>
            </w:pPr>
            <w:r>
              <w:rPr>
                <w:color w:val="auto"/>
              </w:rPr>
              <w:t>BMI, kg/m</w:t>
            </w:r>
            <w:r>
              <w:rPr>
                <w:color w:val="auto"/>
                <w:vertAlign w:val="superscript"/>
              </w:rPr>
              <w:t>2</w:t>
            </w:r>
          </w:p>
        </w:tc>
        <w:tc>
          <w:tcPr>
            <w:tcW w:w="2268" w:type="dxa"/>
          </w:tcPr>
          <w:p w14:paraId="15404F0A">
            <w:pPr>
              <w:rPr>
                <w:color w:val="auto"/>
              </w:rPr>
            </w:pPr>
            <w:r>
              <w:rPr>
                <w:color w:val="auto"/>
              </w:rPr>
              <w:t>22.5 ± 3.2</w:t>
            </w:r>
          </w:p>
        </w:tc>
        <w:tc>
          <w:tcPr>
            <w:tcW w:w="2268" w:type="dxa"/>
          </w:tcPr>
          <w:p w14:paraId="5F24DDF1">
            <w:pPr>
              <w:rPr>
                <w:color w:val="auto"/>
              </w:rPr>
            </w:pPr>
            <w:r>
              <w:rPr>
                <w:color w:val="auto"/>
              </w:rPr>
              <w:t>22.8 ± 3.4</w:t>
            </w:r>
          </w:p>
        </w:tc>
        <w:tc>
          <w:tcPr>
            <w:tcW w:w="1003" w:type="dxa"/>
          </w:tcPr>
          <w:p w14:paraId="24633FF1">
            <w:pPr>
              <w:rPr>
                <w:color w:val="auto"/>
              </w:rPr>
            </w:pPr>
            <w:r>
              <w:rPr>
                <w:color w:val="auto"/>
              </w:rPr>
              <w:t>0.229</w:t>
            </w:r>
          </w:p>
        </w:tc>
      </w:tr>
      <w:tr w14:paraId="1F4D11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2" w:type="dxa"/>
          </w:tcPr>
          <w:p w14:paraId="1741740C">
            <w:pPr>
              <w:rPr>
                <w:color w:val="auto"/>
              </w:rPr>
            </w:pPr>
            <w:r>
              <w:rPr>
                <w:color w:val="auto"/>
              </w:rPr>
              <w:t>Smoking</w:t>
            </w:r>
          </w:p>
        </w:tc>
        <w:tc>
          <w:tcPr>
            <w:tcW w:w="2268" w:type="dxa"/>
          </w:tcPr>
          <w:p w14:paraId="450DBC56">
            <w:pPr>
              <w:rPr>
                <w:color w:val="auto"/>
              </w:rPr>
            </w:pPr>
            <w:r>
              <w:rPr>
                <w:color w:val="auto"/>
              </w:rPr>
              <w:t>140 (37.4%)</w:t>
            </w:r>
          </w:p>
        </w:tc>
        <w:tc>
          <w:tcPr>
            <w:tcW w:w="2268" w:type="dxa"/>
          </w:tcPr>
          <w:p w14:paraId="3AFF1020">
            <w:pPr>
              <w:rPr>
                <w:color w:val="auto"/>
              </w:rPr>
            </w:pPr>
            <w:r>
              <w:rPr>
                <w:color w:val="auto"/>
              </w:rPr>
              <w:t>87 (35.0%)</w:t>
            </w:r>
          </w:p>
        </w:tc>
        <w:tc>
          <w:tcPr>
            <w:tcW w:w="1003" w:type="dxa"/>
          </w:tcPr>
          <w:p w14:paraId="661A7024">
            <w:pPr>
              <w:rPr>
                <w:color w:val="auto"/>
              </w:rPr>
            </w:pPr>
            <w:r>
              <w:rPr>
                <w:color w:val="auto"/>
              </w:rPr>
              <w:t>0.096</w:t>
            </w:r>
          </w:p>
        </w:tc>
      </w:tr>
      <w:tr w14:paraId="65FBC4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762" w:type="dxa"/>
          </w:tcPr>
          <w:p w14:paraId="5D8293A0">
            <w:pPr>
              <w:rPr>
                <w:color w:val="auto"/>
              </w:rPr>
            </w:pPr>
            <w:r>
              <w:rPr>
                <w:color w:val="auto"/>
              </w:rPr>
              <w:t>Drinking</w:t>
            </w:r>
          </w:p>
        </w:tc>
        <w:tc>
          <w:tcPr>
            <w:tcW w:w="2268" w:type="dxa"/>
          </w:tcPr>
          <w:p w14:paraId="7566509E">
            <w:pPr>
              <w:rPr>
                <w:color w:val="auto"/>
              </w:rPr>
            </w:pPr>
            <w:r>
              <w:rPr>
                <w:color w:val="auto"/>
              </w:rPr>
              <w:t>102 (29.2%)</w:t>
            </w:r>
          </w:p>
        </w:tc>
        <w:tc>
          <w:tcPr>
            <w:tcW w:w="2268" w:type="dxa"/>
          </w:tcPr>
          <w:p w14:paraId="712FA206">
            <w:pPr>
              <w:rPr>
                <w:color w:val="auto"/>
              </w:rPr>
            </w:pPr>
            <w:r>
              <w:rPr>
                <w:color w:val="auto"/>
              </w:rPr>
              <w:t>63 (29.1%)</w:t>
            </w:r>
          </w:p>
        </w:tc>
        <w:tc>
          <w:tcPr>
            <w:tcW w:w="1003" w:type="dxa"/>
          </w:tcPr>
          <w:p w14:paraId="4B67BE49">
            <w:pPr>
              <w:rPr>
                <w:color w:val="auto"/>
              </w:rPr>
            </w:pPr>
            <w:r>
              <w:rPr>
                <w:color w:val="auto"/>
              </w:rPr>
              <w:t>0.170</w:t>
            </w:r>
          </w:p>
        </w:tc>
      </w:tr>
      <w:tr w14:paraId="1AE649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2" w:type="dxa"/>
          </w:tcPr>
          <w:p w14:paraId="5C8724E4">
            <w:pPr>
              <w:rPr>
                <w:color w:val="auto"/>
              </w:rPr>
            </w:pPr>
            <w:r>
              <w:rPr>
                <w:color w:val="auto"/>
              </w:rPr>
              <w:t>T2DM</w:t>
            </w:r>
          </w:p>
        </w:tc>
        <w:tc>
          <w:tcPr>
            <w:tcW w:w="2268" w:type="dxa"/>
          </w:tcPr>
          <w:p w14:paraId="479F342A">
            <w:pPr>
              <w:rPr>
                <w:color w:val="auto"/>
              </w:rPr>
            </w:pPr>
            <w:r>
              <w:rPr>
                <w:color w:val="auto"/>
              </w:rPr>
              <w:t>43 (12.1%)</w:t>
            </w:r>
          </w:p>
        </w:tc>
        <w:tc>
          <w:tcPr>
            <w:tcW w:w="2268" w:type="dxa"/>
          </w:tcPr>
          <w:p w14:paraId="41A11A55">
            <w:pPr>
              <w:rPr>
                <w:color w:val="auto"/>
              </w:rPr>
            </w:pPr>
            <w:r>
              <w:rPr>
                <w:color w:val="auto"/>
              </w:rPr>
              <w:t>40 (11.7%)</w:t>
            </w:r>
          </w:p>
        </w:tc>
        <w:tc>
          <w:tcPr>
            <w:tcW w:w="1003" w:type="dxa"/>
          </w:tcPr>
          <w:p w14:paraId="5C7BF802">
            <w:pPr>
              <w:rPr>
                <w:color w:val="auto"/>
              </w:rPr>
            </w:pPr>
            <w:r>
              <w:rPr>
                <w:color w:val="auto"/>
              </w:rPr>
              <w:t>0.286</w:t>
            </w:r>
          </w:p>
        </w:tc>
      </w:tr>
      <w:tr w14:paraId="563B3E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762" w:type="dxa"/>
          </w:tcPr>
          <w:p w14:paraId="5C3DDCF8">
            <w:pPr>
              <w:rPr>
                <w:color w:val="auto"/>
              </w:rPr>
            </w:pPr>
            <w:r>
              <w:rPr>
                <w:color w:val="auto"/>
              </w:rPr>
              <w:t>Tumor size</w:t>
            </w:r>
          </w:p>
        </w:tc>
        <w:tc>
          <w:tcPr>
            <w:tcW w:w="2268" w:type="dxa"/>
          </w:tcPr>
          <w:p w14:paraId="4C530B95">
            <w:pPr>
              <w:rPr>
                <w:color w:val="auto"/>
              </w:rPr>
            </w:pPr>
          </w:p>
        </w:tc>
        <w:tc>
          <w:tcPr>
            <w:tcW w:w="2268" w:type="dxa"/>
          </w:tcPr>
          <w:p w14:paraId="28F025C7">
            <w:pPr>
              <w:rPr>
                <w:color w:val="auto"/>
              </w:rPr>
            </w:pPr>
          </w:p>
        </w:tc>
        <w:tc>
          <w:tcPr>
            <w:tcW w:w="1003" w:type="dxa"/>
          </w:tcPr>
          <w:p w14:paraId="1FE6042F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.132</w:t>
            </w:r>
          </w:p>
        </w:tc>
      </w:tr>
      <w:tr w14:paraId="7C11BC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762" w:type="dxa"/>
          </w:tcPr>
          <w:p w14:paraId="61A38D21">
            <w:pPr>
              <w:rPr>
                <w:color w:val="auto"/>
              </w:rPr>
            </w:pPr>
            <w:r>
              <w:rPr>
                <w:color w:val="auto"/>
              </w:rPr>
              <w:t xml:space="preserve">  &lt; 4 cm</w:t>
            </w:r>
          </w:p>
        </w:tc>
        <w:tc>
          <w:tcPr>
            <w:tcW w:w="2268" w:type="dxa"/>
          </w:tcPr>
          <w:p w14:paraId="5A6A1FCD">
            <w:pPr>
              <w:rPr>
                <w:color w:val="auto"/>
              </w:rPr>
            </w:pPr>
            <w:r>
              <w:rPr>
                <w:color w:val="auto"/>
              </w:rPr>
              <w:t>153 (54.6%)</w:t>
            </w:r>
          </w:p>
        </w:tc>
        <w:tc>
          <w:tcPr>
            <w:tcW w:w="2268" w:type="dxa"/>
          </w:tcPr>
          <w:p w14:paraId="3452DC22">
            <w:pPr>
              <w:rPr>
                <w:color w:val="auto"/>
              </w:rPr>
            </w:pPr>
            <w:r>
              <w:rPr>
                <w:color w:val="auto"/>
              </w:rPr>
              <w:t>131 (55.4%)</w:t>
            </w:r>
          </w:p>
        </w:tc>
        <w:tc>
          <w:tcPr>
            <w:tcW w:w="1003" w:type="dxa"/>
          </w:tcPr>
          <w:p w14:paraId="69D3C3F7">
            <w:pPr>
              <w:rPr>
                <w:color w:val="auto"/>
              </w:rPr>
            </w:pPr>
          </w:p>
        </w:tc>
      </w:tr>
      <w:tr w14:paraId="0765EC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762" w:type="dxa"/>
          </w:tcPr>
          <w:p w14:paraId="5E6E252C">
            <w:pPr>
              <w:rPr>
                <w:color w:val="auto"/>
              </w:rPr>
            </w:pPr>
            <w:r>
              <w:rPr>
                <w:color w:val="auto"/>
              </w:rPr>
              <w:t xml:space="preserve">  ≥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 xml:space="preserve">4 </w:t>
            </w:r>
            <w:r>
              <w:rPr>
                <w:rFonts w:hint="eastAsia"/>
                <w:color w:val="auto"/>
              </w:rPr>
              <w:t>cm</w:t>
            </w:r>
          </w:p>
        </w:tc>
        <w:tc>
          <w:tcPr>
            <w:tcW w:w="2268" w:type="dxa"/>
          </w:tcPr>
          <w:p w14:paraId="4294F2B5">
            <w:pPr>
              <w:rPr>
                <w:color w:val="auto"/>
              </w:rPr>
            </w:pPr>
            <w:r>
              <w:rPr>
                <w:color w:val="auto"/>
              </w:rPr>
              <w:t>231 (45.4%)</w:t>
            </w:r>
          </w:p>
        </w:tc>
        <w:tc>
          <w:tcPr>
            <w:tcW w:w="2268" w:type="dxa"/>
          </w:tcPr>
          <w:p w14:paraId="672FEEE8">
            <w:pPr>
              <w:rPr>
                <w:color w:val="auto"/>
              </w:rPr>
            </w:pPr>
            <w:r>
              <w:rPr>
                <w:color w:val="auto"/>
              </w:rPr>
              <w:t>156 (44.6%)</w:t>
            </w:r>
          </w:p>
        </w:tc>
        <w:tc>
          <w:tcPr>
            <w:tcW w:w="1003" w:type="dxa"/>
          </w:tcPr>
          <w:p w14:paraId="34ED1C5D">
            <w:pPr>
              <w:rPr>
                <w:color w:val="auto"/>
              </w:rPr>
            </w:pPr>
          </w:p>
        </w:tc>
      </w:tr>
      <w:tr w14:paraId="0896F0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762" w:type="dxa"/>
          </w:tcPr>
          <w:p w14:paraId="48E500C4">
            <w:pPr>
              <w:rPr>
                <w:color w:val="auto"/>
              </w:rPr>
            </w:pPr>
            <w:r>
              <w:rPr>
                <w:color w:val="auto"/>
              </w:rPr>
              <w:t xml:space="preserve">T </w:t>
            </w:r>
            <w:r>
              <w:rPr>
                <w:rFonts w:hint="eastAsia"/>
                <w:color w:val="auto"/>
              </w:rPr>
              <w:t>stage</w:t>
            </w:r>
          </w:p>
        </w:tc>
        <w:tc>
          <w:tcPr>
            <w:tcW w:w="2268" w:type="dxa"/>
          </w:tcPr>
          <w:p w14:paraId="145B390C">
            <w:pPr>
              <w:rPr>
                <w:color w:val="auto"/>
              </w:rPr>
            </w:pPr>
          </w:p>
        </w:tc>
        <w:tc>
          <w:tcPr>
            <w:tcW w:w="2268" w:type="dxa"/>
          </w:tcPr>
          <w:p w14:paraId="0AA82CAC">
            <w:pPr>
              <w:rPr>
                <w:color w:val="auto"/>
              </w:rPr>
            </w:pPr>
          </w:p>
        </w:tc>
        <w:tc>
          <w:tcPr>
            <w:tcW w:w="1003" w:type="dxa"/>
          </w:tcPr>
          <w:p w14:paraId="70C6758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.329</w:t>
            </w:r>
          </w:p>
        </w:tc>
      </w:tr>
      <w:tr w14:paraId="1027E4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762" w:type="dxa"/>
          </w:tcPr>
          <w:p w14:paraId="4A422239">
            <w:pPr>
              <w:rPr>
                <w:color w:val="auto"/>
              </w:rPr>
            </w:pPr>
            <w:r>
              <w:rPr>
                <w:color w:val="auto"/>
              </w:rPr>
              <w:t xml:space="preserve">  1</w:t>
            </w:r>
          </w:p>
        </w:tc>
        <w:tc>
          <w:tcPr>
            <w:tcW w:w="2268" w:type="dxa"/>
          </w:tcPr>
          <w:p w14:paraId="6627D061">
            <w:pPr>
              <w:rPr>
                <w:color w:val="auto"/>
              </w:rPr>
            </w:pPr>
            <w:r>
              <w:rPr>
                <w:color w:val="auto"/>
              </w:rPr>
              <w:t>5 (1.6%)</w:t>
            </w:r>
          </w:p>
        </w:tc>
        <w:tc>
          <w:tcPr>
            <w:tcW w:w="2268" w:type="dxa"/>
          </w:tcPr>
          <w:p w14:paraId="2071F3C1">
            <w:pPr>
              <w:rPr>
                <w:color w:val="auto"/>
              </w:rPr>
            </w:pPr>
            <w:r>
              <w:rPr>
                <w:color w:val="auto"/>
              </w:rPr>
              <w:t>3 (1.3%)</w:t>
            </w:r>
          </w:p>
        </w:tc>
        <w:tc>
          <w:tcPr>
            <w:tcW w:w="1003" w:type="dxa"/>
          </w:tcPr>
          <w:p w14:paraId="4EA0F6C6">
            <w:pPr>
              <w:rPr>
                <w:color w:val="auto"/>
              </w:rPr>
            </w:pPr>
          </w:p>
        </w:tc>
      </w:tr>
      <w:tr w14:paraId="7C3028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762" w:type="dxa"/>
          </w:tcPr>
          <w:p w14:paraId="5D5DEC57">
            <w:pPr>
              <w:rPr>
                <w:color w:val="auto"/>
              </w:rPr>
            </w:pPr>
            <w:r>
              <w:rPr>
                <w:color w:val="auto"/>
              </w:rPr>
              <w:t xml:space="preserve">  2</w:t>
            </w:r>
          </w:p>
        </w:tc>
        <w:tc>
          <w:tcPr>
            <w:tcW w:w="2268" w:type="dxa"/>
          </w:tcPr>
          <w:p w14:paraId="7740B71E">
            <w:pPr>
              <w:rPr>
                <w:color w:val="auto"/>
              </w:rPr>
            </w:pPr>
            <w:r>
              <w:rPr>
                <w:color w:val="auto"/>
              </w:rPr>
              <w:t>15 (9.5%)</w:t>
            </w:r>
          </w:p>
        </w:tc>
        <w:tc>
          <w:tcPr>
            <w:tcW w:w="2268" w:type="dxa"/>
          </w:tcPr>
          <w:p w14:paraId="08BE0139">
            <w:pPr>
              <w:rPr>
                <w:color w:val="auto"/>
              </w:rPr>
            </w:pPr>
            <w:r>
              <w:rPr>
                <w:color w:val="auto"/>
              </w:rPr>
              <w:t>10 (7.9%)</w:t>
            </w:r>
          </w:p>
        </w:tc>
        <w:tc>
          <w:tcPr>
            <w:tcW w:w="1003" w:type="dxa"/>
          </w:tcPr>
          <w:p w14:paraId="7C419CFA">
            <w:pPr>
              <w:rPr>
                <w:color w:val="auto"/>
              </w:rPr>
            </w:pPr>
          </w:p>
        </w:tc>
      </w:tr>
      <w:tr w14:paraId="059BB7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762" w:type="dxa"/>
          </w:tcPr>
          <w:p w14:paraId="5EE5940B">
            <w:pPr>
              <w:rPr>
                <w:color w:val="auto"/>
              </w:rPr>
            </w:pPr>
            <w:r>
              <w:rPr>
                <w:color w:val="auto"/>
              </w:rPr>
              <w:t xml:space="preserve">  3</w:t>
            </w:r>
          </w:p>
        </w:tc>
        <w:tc>
          <w:tcPr>
            <w:tcW w:w="2268" w:type="dxa"/>
          </w:tcPr>
          <w:p w14:paraId="286D52E6">
            <w:pPr>
              <w:rPr>
                <w:color w:val="auto"/>
              </w:rPr>
            </w:pPr>
            <w:r>
              <w:rPr>
                <w:color w:val="auto"/>
              </w:rPr>
              <w:t>126 (29.2%)</w:t>
            </w:r>
          </w:p>
        </w:tc>
        <w:tc>
          <w:tcPr>
            <w:tcW w:w="2268" w:type="dxa"/>
          </w:tcPr>
          <w:p w14:paraId="0512006C">
            <w:pPr>
              <w:rPr>
                <w:color w:val="auto"/>
              </w:rPr>
            </w:pPr>
            <w:r>
              <w:rPr>
                <w:color w:val="auto"/>
              </w:rPr>
              <w:t>114 (32.0%)</w:t>
            </w:r>
          </w:p>
        </w:tc>
        <w:tc>
          <w:tcPr>
            <w:tcW w:w="1003" w:type="dxa"/>
          </w:tcPr>
          <w:p w14:paraId="1EA6F1EC">
            <w:pPr>
              <w:rPr>
                <w:color w:val="auto"/>
              </w:rPr>
            </w:pPr>
          </w:p>
        </w:tc>
      </w:tr>
      <w:tr w14:paraId="62819A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762" w:type="dxa"/>
          </w:tcPr>
          <w:p w14:paraId="2C556B60">
            <w:pPr>
              <w:ind w:firstLine="240" w:firstLineChars="100"/>
              <w:rPr>
                <w:color w:val="auto"/>
              </w:rPr>
            </w:pPr>
            <w:r>
              <w:rPr>
                <w:rFonts w:hint="eastAsia"/>
                <w:color w:val="auto"/>
              </w:rPr>
              <w:t>4</w:t>
            </w:r>
          </w:p>
        </w:tc>
        <w:tc>
          <w:tcPr>
            <w:tcW w:w="2268" w:type="dxa"/>
          </w:tcPr>
          <w:p w14:paraId="64050FBA">
            <w:pPr>
              <w:rPr>
                <w:color w:val="auto"/>
              </w:rPr>
            </w:pPr>
            <w:r>
              <w:rPr>
                <w:color w:val="auto"/>
              </w:rPr>
              <w:t>238 (59.7%)</w:t>
            </w:r>
          </w:p>
        </w:tc>
        <w:tc>
          <w:tcPr>
            <w:tcW w:w="2268" w:type="dxa"/>
          </w:tcPr>
          <w:p w14:paraId="313938D9">
            <w:pPr>
              <w:rPr>
                <w:color w:val="auto"/>
              </w:rPr>
            </w:pPr>
            <w:r>
              <w:rPr>
                <w:color w:val="auto"/>
              </w:rPr>
              <w:t>160 (58.9%)</w:t>
            </w:r>
          </w:p>
        </w:tc>
        <w:tc>
          <w:tcPr>
            <w:tcW w:w="1003" w:type="dxa"/>
          </w:tcPr>
          <w:p w14:paraId="7B46B458">
            <w:pPr>
              <w:rPr>
                <w:color w:val="auto"/>
              </w:rPr>
            </w:pPr>
          </w:p>
        </w:tc>
      </w:tr>
      <w:tr w14:paraId="63DB7C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762" w:type="dxa"/>
          </w:tcPr>
          <w:p w14:paraId="4E10C231">
            <w:pPr>
              <w:rPr>
                <w:color w:val="auto"/>
              </w:rPr>
            </w:pPr>
            <w:r>
              <w:rPr>
                <w:color w:val="auto"/>
              </w:rPr>
              <w:t>Operation time (min)</w:t>
            </w:r>
          </w:p>
        </w:tc>
        <w:tc>
          <w:tcPr>
            <w:tcW w:w="2268" w:type="dxa"/>
          </w:tcPr>
          <w:p w14:paraId="73F6A844">
            <w:pPr>
              <w:rPr>
                <w:color w:val="auto"/>
              </w:rPr>
            </w:pPr>
            <w:r>
              <w:rPr>
                <w:color w:val="auto"/>
              </w:rPr>
              <w:t>215.4 ± 67.6</w:t>
            </w:r>
          </w:p>
        </w:tc>
        <w:tc>
          <w:tcPr>
            <w:tcW w:w="2268" w:type="dxa"/>
          </w:tcPr>
          <w:p w14:paraId="58A22A12">
            <w:pPr>
              <w:rPr>
                <w:color w:val="auto"/>
              </w:rPr>
            </w:pPr>
            <w:r>
              <w:rPr>
                <w:color w:val="auto"/>
              </w:rPr>
              <w:t>214.4 ± 65.3</w:t>
            </w:r>
          </w:p>
        </w:tc>
        <w:tc>
          <w:tcPr>
            <w:tcW w:w="1003" w:type="dxa"/>
          </w:tcPr>
          <w:p w14:paraId="6034C7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.845</w:t>
            </w:r>
          </w:p>
        </w:tc>
      </w:tr>
      <w:tr w14:paraId="164BAD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762" w:type="dxa"/>
          </w:tcPr>
          <w:p w14:paraId="54D14994">
            <w:pPr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Estimated b</w:t>
            </w:r>
            <w:r>
              <w:rPr>
                <w:color w:val="auto"/>
              </w:rPr>
              <w:t>lood loss (mL)</w:t>
            </w:r>
          </w:p>
        </w:tc>
        <w:tc>
          <w:tcPr>
            <w:tcW w:w="2268" w:type="dxa"/>
          </w:tcPr>
          <w:p w14:paraId="7C009C90">
            <w:pPr>
              <w:rPr>
                <w:color w:val="auto"/>
              </w:rPr>
            </w:pPr>
            <w:r>
              <w:rPr>
                <w:color w:val="auto"/>
              </w:rPr>
              <w:t>92.3 ± 103.3</w:t>
            </w:r>
          </w:p>
        </w:tc>
        <w:tc>
          <w:tcPr>
            <w:tcW w:w="2268" w:type="dxa"/>
          </w:tcPr>
          <w:p w14:paraId="3E832C6F">
            <w:pPr>
              <w:rPr>
                <w:color w:val="auto"/>
              </w:rPr>
            </w:pPr>
            <w:r>
              <w:rPr>
                <w:color w:val="auto"/>
              </w:rPr>
              <w:t>112.3 ± 135.8</w:t>
            </w:r>
          </w:p>
        </w:tc>
        <w:tc>
          <w:tcPr>
            <w:tcW w:w="1003" w:type="dxa"/>
          </w:tcPr>
          <w:p w14:paraId="494C7C5C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.030*</w:t>
            </w:r>
          </w:p>
        </w:tc>
      </w:tr>
      <w:tr w14:paraId="3466AF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762" w:type="dxa"/>
          </w:tcPr>
          <w:p w14:paraId="367C8A44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H</w:t>
            </w:r>
            <w:r>
              <w:rPr>
                <w:color w:val="auto"/>
              </w:rPr>
              <w:t>ospital stays</w:t>
            </w:r>
          </w:p>
        </w:tc>
        <w:tc>
          <w:tcPr>
            <w:tcW w:w="2268" w:type="dxa"/>
          </w:tcPr>
          <w:p w14:paraId="62D119E2">
            <w:pPr>
              <w:rPr>
                <w:color w:val="auto"/>
              </w:rPr>
            </w:pPr>
            <w:r>
              <w:rPr>
                <w:color w:val="auto"/>
              </w:rPr>
              <w:t>10.4 ± 6.2</w:t>
            </w:r>
          </w:p>
        </w:tc>
        <w:tc>
          <w:tcPr>
            <w:tcW w:w="2268" w:type="dxa"/>
          </w:tcPr>
          <w:p w14:paraId="0ADAE260">
            <w:pPr>
              <w:rPr>
                <w:color w:val="auto"/>
              </w:rPr>
            </w:pPr>
            <w:r>
              <w:rPr>
                <w:color w:val="auto"/>
              </w:rPr>
              <w:t>11.1 ± 6.3</w:t>
            </w:r>
          </w:p>
        </w:tc>
        <w:tc>
          <w:tcPr>
            <w:tcW w:w="1003" w:type="dxa"/>
          </w:tcPr>
          <w:p w14:paraId="0A2B263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.154</w:t>
            </w:r>
          </w:p>
        </w:tc>
      </w:tr>
      <w:tr w14:paraId="436C7F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762" w:type="dxa"/>
          </w:tcPr>
          <w:p w14:paraId="05259A0B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O</w:t>
            </w:r>
            <w:r>
              <w:rPr>
                <w:color w:val="auto"/>
              </w:rPr>
              <w:t>verall complications</w:t>
            </w:r>
          </w:p>
        </w:tc>
        <w:tc>
          <w:tcPr>
            <w:tcW w:w="2268" w:type="dxa"/>
          </w:tcPr>
          <w:p w14:paraId="0E935837">
            <w:pPr>
              <w:rPr>
                <w:color w:val="auto"/>
              </w:rPr>
            </w:pPr>
            <w:r>
              <w:rPr>
                <w:color w:val="auto"/>
              </w:rPr>
              <w:t>80 (21.1%)</w:t>
            </w:r>
          </w:p>
        </w:tc>
        <w:tc>
          <w:tcPr>
            <w:tcW w:w="2268" w:type="dxa"/>
          </w:tcPr>
          <w:p w14:paraId="45ABDCA5">
            <w:pPr>
              <w:rPr>
                <w:color w:val="auto"/>
              </w:rPr>
            </w:pPr>
            <w:r>
              <w:rPr>
                <w:color w:val="auto"/>
              </w:rPr>
              <w:t>82 (24.2%)</w:t>
            </w:r>
          </w:p>
        </w:tc>
        <w:tc>
          <w:tcPr>
            <w:tcW w:w="1003" w:type="dxa"/>
          </w:tcPr>
          <w:p w14:paraId="6D3C754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.020*</w:t>
            </w:r>
          </w:p>
        </w:tc>
      </w:tr>
      <w:tr w14:paraId="7E8B35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762" w:type="dxa"/>
          </w:tcPr>
          <w:p w14:paraId="6B8F5577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M</w:t>
            </w:r>
            <w:r>
              <w:rPr>
                <w:color w:val="auto"/>
              </w:rPr>
              <w:t>ajor complications</w:t>
            </w:r>
          </w:p>
        </w:tc>
        <w:tc>
          <w:tcPr>
            <w:tcW w:w="2268" w:type="dxa"/>
          </w:tcPr>
          <w:p w14:paraId="74CE95C3">
            <w:pPr>
              <w:rPr>
                <w:color w:val="auto"/>
              </w:rPr>
            </w:pPr>
            <w:r>
              <w:rPr>
                <w:color w:val="auto"/>
              </w:rPr>
              <w:t>8 (2.6%)</w:t>
            </w:r>
          </w:p>
        </w:tc>
        <w:tc>
          <w:tcPr>
            <w:tcW w:w="2268" w:type="dxa"/>
          </w:tcPr>
          <w:p w14:paraId="34544A75">
            <w:pPr>
              <w:rPr>
                <w:color w:val="auto"/>
              </w:rPr>
            </w:pPr>
            <w:r>
              <w:rPr>
                <w:color w:val="auto"/>
              </w:rPr>
              <w:t>9 (2.7%)</w:t>
            </w:r>
          </w:p>
        </w:tc>
        <w:tc>
          <w:tcPr>
            <w:tcW w:w="1003" w:type="dxa"/>
          </w:tcPr>
          <w:p w14:paraId="20B944A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.391</w:t>
            </w:r>
          </w:p>
        </w:tc>
      </w:tr>
    </w:tbl>
    <w:p w14:paraId="4BB55EA8">
      <w:pPr>
        <w:rPr>
          <w:color w:val="auto"/>
        </w:rPr>
      </w:pPr>
      <w:r>
        <w:rPr>
          <w:color w:val="auto"/>
        </w:rPr>
        <w:t>Note: Variables are expressed as the mean ±</w:t>
      </w:r>
      <w:r>
        <w:rPr>
          <w:rFonts w:hint="eastAsia"/>
          <w:color w:val="auto"/>
        </w:rPr>
        <w:t xml:space="preserve"> </w:t>
      </w:r>
      <w:r>
        <w:rPr>
          <w:color w:val="auto"/>
        </w:rPr>
        <w:t>SD, n (%), *P-value &lt;0.05.</w:t>
      </w:r>
    </w:p>
    <w:p w14:paraId="1CF2DF41">
      <w:pPr>
        <w:rPr>
          <w:color w:val="auto"/>
        </w:rPr>
      </w:pPr>
      <w:r>
        <w:rPr>
          <w:color w:val="auto"/>
        </w:rPr>
        <w:t>Abbreviations: BMI, body mass index; T2DM, type 2 diabetes mellitus; LNR, lymph nodes ratio.</w:t>
      </w:r>
    </w:p>
    <w:bookmarkEnd w:id="0"/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 Neue LT Pro">
    <w:altName w:val="DejaVu Math TeX Gyre"/>
    <w:panose1 w:val="02000503000000020004"/>
    <w:charset w:val="00"/>
    <w:family w:val="auto"/>
    <w:pitch w:val="default"/>
    <w:sig w:usb0="00000000" w:usb1="00000000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ZmNzgzMDAwYjY3M2ViZDYwZWM2OGEzZWQ5ZDE4MWQifQ=="/>
  </w:docVars>
  <w:rsids>
    <w:rsidRoot w:val="007C36E5"/>
    <w:rsid w:val="00001A64"/>
    <w:rsid w:val="00002C34"/>
    <w:rsid w:val="0000335F"/>
    <w:rsid w:val="000055AB"/>
    <w:rsid w:val="00015523"/>
    <w:rsid w:val="00015E9E"/>
    <w:rsid w:val="00023551"/>
    <w:rsid w:val="00024019"/>
    <w:rsid w:val="00046BF9"/>
    <w:rsid w:val="00047C00"/>
    <w:rsid w:val="00057CB6"/>
    <w:rsid w:val="00065063"/>
    <w:rsid w:val="00072080"/>
    <w:rsid w:val="00072AF1"/>
    <w:rsid w:val="0008208D"/>
    <w:rsid w:val="000869D5"/>
    <w:rsid w:val="0008768A"/>
    <w:rsid w:val="00087918"/>
    <w:rsid w:val="00090A6E"/>
    <w:rsid w:val="00090F7F"/>
    <w:rsid w:val="0009710C"/>
    <w:rsid w:val="000A0532"/>
    <w:rsid w:val="000B000C"/>
    <w:rsid w:val="000B64C1"/>
    <w:rsid w:val="000D7C4A"/>
    <w:rsid w:val="000E00F4"/>
    <w:rsid w:val="000E5397"/>
    <w:rsid w:val="000F2A0F"/>
    <w:rsid w:val="000F4DC1"/>
    <w:rsid w:val="000F7D18"/>
    <w:rsid w:val="0011169D"/>
    <w:rsid w:val="0011465E"/>
    <w:rsid w:val="00115A47"/>
    <w:rsid w:val="00124280"/>
    <w:rsid w:val="00131B44"/>
    <w:rsid w:val="001377C3"/>
    <w:rsid w:val="00166E30"/>
    <w:rsid w:val="00177DE3"/>
    <w:rsid w:val="001865A4"/>
    <w:rsid w:val="00195F3A"/>
    <w:rsid w:val="00196570"/>
    <w:rsid w:val="001A02F4"/>
    <w:rsid w:val="001A2815"/>
    <w:rsid w:val="001A2EF2"/>
    <w:rsid w:val="001A3574"/>
    <w:rsid w:val="001A4EB0"/>
    <w:rsid w:val="001A7083"/>
    <w:rsid w:val="001C5635"/>
    <w:rsid w:val="001D12ED"/>
    <w:rsid w:val="001D5585"/>
    <w:rsid w:val="001E0419"/>
    <w:rsid w:val="001E382A"/>
    <w:rsid w:val="001E3ECC"/>
    <w:rsid w:val="001E71FC"/>
    <w:rsid w:val="001F3FF1"/>
    <w:rsid w:val="00200E80"/>
    <w:rsid w:val="002019A2"/>
    <w:rsid w:val="00203B8E"/>
    <w:rsid w:val="00210DDD"/>
    <w:rsid w:val="00220290"/>
    <w:rsid w:val="0022177B"/>
    <w:rsid w:val="002230E6"/>
    <w:rsid w:val="00240F9D"/>
    <w:rsid w:val="0025080A"/>
    <w:rsid w:val="00253330"/>
    <w:rsid w:val="00253747"/>
    <w:rsid w:val="0026479F"/>
    <w:rsid w:val="00281123"/>
    <w:rsid w:val="002811DC"/>
    <w:rsid w:val="00295722"/>
    <w:rsid w:val="002A12FE"/>
    <w:rsid w:val="002C1712"/>
    <w:rsid w:val="002C2D06"/>
    <w:rsid w:val="002C3C69"/>
    <w:rsid w:val="002C4C99"/>
    <w:rsid w:val="002C6E76"/>
    <w:rsid w:val="002E0920"/>
    <w:rsid w:val="002E6FAD"/>
    <w:rsid w:val="002E70C2"/>
    <w:rsid w:val="002E7900"/>
    <w:rsid w:val="002E7A82"/>
    <w:rsid w:val="002F107C"/>
    <w:rsid w:val="003666A2"/>
    <w:rsid w:val="00380610"/>
    <w:rsid w:val="0038220F"/>
    <w:rsid w:val="00383445"/>
    <w:rsid w:val="003861A9"/>
    <w:rsid w:val="00386507"/>
    <w:rsid w:val="003908B9"/>
    <w:rsid w:val="003A0523"/>
    <w:rsid w:val="003A1A00"/>
    <w:rsid w:val="003B0034"/>
    <w:rsid w:val="003B5A23"/>
    <w:rsid w:val="003C6556"/>
    <w:rsid w:val="003E176C"/>
    <w:rsid w:val="003F1864"/>
    <w:rsid w:val="00403854"/>
    <w:rsid w:val="00403C63"/>
    <w:rsid w:val="00404E89"/>
    <w:rsid w:val="00406C22"/>
    <w:rsid w:val="004209B5"/>
    <w:rsid w:val="00430BB1"/>
    <w:rsid w:val="00434A23"/>
    <w:rsid w:val="00435257"/>
    <w:rsid w:val="00452D61"/>
    <w:rsid w:val="0045407B"/>
    <w:rsid w:val="00455945"/>
    <w:rsid w:val="00473918"/>
    <w:rsid w:val="0047593B"/>
    <w:rsid w:val="0048446F"/>
    <w:rsid w:val="00487892"/>
    <w:rsid w:val="00496C3F"/>
    <w:rsid w:val="004979E8"/>
    <w:rsid w:val="004A01A3"/>
    <w:rsid w:val="004B2BFD"/>
    <w:rsid w:val="004B3BAB"/>
    <w:rsid w:val="004C1BD8"/>
    <w:rsid w:val="004D0FDB"/>
    <w:rsid w:val="004E5E9D"/>
    <w:rsid w:val="004F0F60"/>
    <w:rsid w:val="004F407F"/>
    <w:rsid w:val="005015F3"/>
    <w:rsid w:val="00502663"/>
    <w:rsid w:val="00504E79"/>
    <w:rsid w:val="00506B2B"/>
    <w:rsid w:val="00506F24"/>
    <w:rsid w:val="005145FD"/>
    <w:rsid w:val="005160F0"/>
    <w:rsid w:val="00520ECE"/>
    <w:rsid w:val="00533E4C"/>
    <w:rsid w:val="00534189"/>
    <w:rsid w:val="00536F9B"/>
    <w:rsid w:val="005421EF"/>
    <w:rsid w:val="00542BC2"/>
    <w:rsid w:val="00552ABF"/>
    <w:rsid w:val="00554F8B"/>
    <w:rsid w:val="00561A4B"/>
    <w:rsid w:val="005A70EB"/>
    <w:rsid w:val="005B5082"/>
    <w:rsid w:val="005B51CF"/>
    <w:rsid w:val="005C054D"/>
    <w:rsid w:val="005C4F56"/>
    <w:rsid w:val="005C5D44"/>
    <w:rsid w:val="005D2871"/>
    <w:rsid w:val="005E56CC"/>
    <w:rsid w:val="005E6F42"/>
    <w:rsid w:val="005F518F"/>
    <w:rsid w:val="00601E9C"/>
    <w:rsid w:val="0062743E"/>
    <w:rsid w:val="00630085"/>
    <w:rsid w:val="006330B1"/>
    <w:rsid w:val="00642CAF"/>
    <w:rsid w:val="0064402A"/>
    <w:rsid w:val="006447CB"/>
    <w:rsid w:val="006538D9"/>
    <w:rsid w:val="00653990"/>
    <w:rsid w:val="00654DB8"/>
    <w:rsid w:val="00656D89"/>
    <w:rsid w:val="00657B02"/>
    <w:rsid w:val="006625B0"/>
    <w:rsid w:val="00663E5C"/>
    <w:rsid w:val="0066610D"/>
    <w:rsid w:val="0066757A"/>
    <w:rsid w:val="00670ED1"/>
    <w:rsid w:val="0067147E"/>
    <w:rsid w:val="006734CE"/>
    <w:rsid w:val="006766AC"/>
    <w:rsid w:val="006774AE"/>
    <w:rsid w:val="0067797D"/>
    <w:rsid w:val="00684550"/>
    <w:rsid w:val="00684B7E"/>
    <w:rsid w:val="006A0117"/>
    <w:rsid w:val="006C0D5F"/>
    <w:rsid w:val="006C534A"/>
    <w:rsid w:val="006C6D87"/>
    <w:rsid w:val="006D1293"/>
    <w:rsid w:val="006D6732"/>
    <w:rsid w:val="006E0619"/>
    <w:rsid w:val="006E105C"/>
    <w:rsid w:val="006E2BD8"/>
    <w:rsid w:val="006E56FA"/>
    <w:rsid w:val="006F00F1"/>
    <w:rsid w:val="006F0891"/>
    <w:rsid w:val="006F1B41"/>
    <w:rsid w:val="006F6E73"/>
    <w:rsid w:val="007045D5"/>
    <w:rsid w:val="0070467E"/>
    <w:rsid w:val="00704F6D"/>
    <w:rsid w:val="0070702F"/>
    <w:rsid w:val="00711518"/>
    <w:rsid w:val="00720003"/>
    <w:rsid w:val="007321C6"/>
    <w:rsid w:val="007343F6"/>
    <w:rsid w:val="00735EC7"/>
    <w:rsid w:val="00737165"/>
    <w:rsid w:val="007422AE"/>
    <w:rsid w:val="00744182"/>
    <w:rsid w:val="007450D6"/>
    <w:rsid w:val="007472A6"/>
    <w:rsid w:val="00754816"/>
    <w:rsid w:val="007563E8"/>
    <w:rsid w:val="007640C9"/>
    <w:rsid w:val="00776D21"/>
    <w:rsid w:val="00780F58"/>
    <w:rsid w:val="00785F84"/>
    <w:rsid w:val="00792FDE"/>
    <w:rsid w:val="00794CFD"/>
    <w:rsid w:val="00797E0A"/>
    <w:rsid w:val="007B02A5"/>
    <w:rsid w:val="007B074F"/>
    <w:rsid w:val="007B4034"/>
    <w:rsid w:val="007B61A9"/>
    <w:rsid w:val="007B687E"/>
    <w:rsid w:val="007C36E5"/>
    <w:rsid w:val="007C59B8"/>
    <w:rsid w:val="007D2A85"/>
    <w:rsid w:val="007D3DDF"/>
    <w:rsid w:val="007E17E7"/>
    <w:rsid w:val="00800408"/>
    <w:rsid w:val="00803C27"/>
    <w:rsid w:val="00804267"/>
    <w:rsid w:val="0080433B"/>
    <w:rsid w:val="008177DA"/>
    <w:rsid w:val="00823D6D"/>
    <w:rsid w:val="0082760A"/>
    <w:rsid w:val="008314A1"/>
    <w:rsid w:val="0083182D"/>
    <w:rsid w:val="0085050F"/>
    <w:rsid w:val="00855C2C"/>
    <w:rsid w:val="00857A4D"/>
    <w:rsid w:val="008658B2"/>
    <w:rsid w:val="00866BA9"/>
    <w:rsid w:val="008838E1"/>
    <w:rsid w:val="008931FD"/>
    <w:rsid w:val="008A4D2B"/>
    <w:rsid w:val="008A57F0"/>
    <w:rsid w:val="008B5A47"/>
    <w:rsid w:val="008B6517"/>
    <w:rsid w:val="008C415E"/>
    <w:rsid w:val="008C46A4"/>
    <w:rsid w:val="008D673B"/>
    <w:rsid w:val="00901162"/>
    <w:rsid w:val="00901499"/>
    <w:rsid w:val="0090287D"/>
    <w:rsid w:val="00903B66"/>
    <w:rsid w:val="00915070"/>
    <w:rsid w:val="0092625F"/>
    <w:rsid w:val="00934D5A"/>
    <w:rsid w:val="0095122B"/>
    <w:rsid w:val="0095538C"/>
    <w:rsid w:val="00955D4B"/>
    <w:rsid w:val="00961A0E"/>
    <w:rsid w:val="009764F7"/>
    <w:rsid w:val="009803A6"/>
    <w:rsid w:val="009A60BA"/>
    <w:rsid w:val="009B48C9"/>
    <w:rsid w:val="009B6D15"/>
    <w:rsid w:val="009C2345"/>
    <w:rsid w:val="009C6408"/>
    <w:rsid w:val="009D1EC8"/>
    <w:rsid w:val="009D65B2"/>
    <w:rsid w:val="009E231F"/>
    <w:rsid w:val="009E72BB"/>
    <w:rsid w:val="009F0479"/>
    <w:rsid w:val="009F0A37"/>
    <w:rsid w:val="009F7BE5"/>
    <w:rsid w:val="00A03EA0"/>
    <w:rsid w:val="00A053BA"/>
    <w:rsid w:val="00A056A8"/>
    <w:rsid w:val="00A05B92"/>
    <w:rsid w:val="00A138B7"/>
    <w:rsid w:val="00A21123"/>
    <w:rsid w:val="00A26355"/>
    <w:rsid w:val="00A34C5D"/>
    <w:rsid w:val="00A37B07"/>
    <w:rsid w:val="00A53E7F"/>
    <w:rsid w:val="00A544EA"/>
    <w:rsid w:val="00A55EA3"/>
    <w:rsid w:val="00A55F3B"/>
    <w:rsid w:val="00A67E03"/>
    <w:rsid w:val="00A67FB0"/>
    <w:rsid w:val="00A768D0"/>
    <w:rsid w:val="00A77DAB"/>
    <w:rsid w:val="00A8001D"/>
    <w:rsid w:val="00A80FA1"/>
    <w:rsid w:val="00A85847"/>
    <w:rsid w:val="00A869ED"/>
    <w:rsid w:val="00A87280"/>
    <w:rsid w:val="00A95B0E"/>
    <w:rsid w:val="00AA0872"/>
    <w:rsid w:val="00AA49F7"/>
    <w:rsid w:val="00AA69A1"/>
    <w:rsid w:val="00AB5DA9"/>
    <w:rsid w:val="00AC1219"/>
    <w:rsid w:val="00AC305F"/>
    <w:rsid w:val="00AC4ECE"/>
    <w:rsid w:val="00AC7BB2"/>
    <w:rsid w:val="00AD4909"/>
    <w:rsid w:val="00AE2AB9"/>
    <w:rsid w:val="00AE2DF3"/>
    <w:rsid w:val="00AE3738"/>
    <w:rsid w:val="00AE6B09"/>
    <w:rsid w:val="00AF1AB3"/>
    <w:rsid w:val="00AF23DC"/>
    <w:rsid w:val="00B05E17"/>
    <w:rsid w:val="00B125AE"/>
    <w:rsid w:val="00B14895"/>
    <w:rsid w:val="00B2240A"/>
    <w:rsid w:val="00B27732"/>
    <w:rsid w:val="00B30232"/>
    <w:rsid w:val="00B315FC"/>
    <w:rsid w:val="00B50745"/>
    <w:rsid w:val="00B517F7"/>
    <w:rsid w:val="00B55F03"/>
    <w:rsid w:val="00B6302E"/>
    <w:rsid w:val="00B64B20"/>
    <w:rsid w:val="00B73701"/>
    <w:rsid w:val="00B76339"/>
    <w:rsid w:val="00B77068"/>
    <w:rsid w:val="00B81548"/>
    <w:rsid w:val="00B8261B"/>
    <w:rsid w:val="00B9219B"/>
    <w:rsid w:val="00B93411"/>
    <w:rsid w:val="00BB05FD"/>
    <w:rsid w:val="00BC1C95"/>
    <w:rsid w:val="00BC2E65"/>
    <w:rsid w:val="00BD2459"/>
    <w:rsid w:val="00BD4A83"/>
    <w:rsid w:val="00BD4F88"/>
    <w:rsid w:val="00BE75E4"/>
    <w:rsid w:val="00C0243D"/>
    <w:rsid w:val="00C10F1C"/>
    <w:rsid w:val="00C1147D"/>
    <w:rsid w:val="00C20E71"/>
    <w:rsid w:val="00C24BC1"/>
    <w:rsid w:val="00C374A7"/>
    <w:rsid w:val="00C410D1"/>
    <w:rsid w:val="00C45323"/>
    <w:rsid w:val="00C50394"/>
    <w:rsid w:val="00C50B5C"/>
    <w:rsid w:val="00C65375"/>
    <w:rsid w:val="00C72FF6"/>
    <w:rsid w:val="00C80826"/>
    <w:rsid w:val="00C8489B"/>
    <w:rsid w:val="00C91004"/>
    <w:rsid w:val="00CB2940"/>
    <w:rsid w:val="00CB6456"/>
    <w:rsid w:val="00CC68D4"/>
    <w:rsid w:val="00CD62CC"/>
    <w:rsid w:val="00CE0F7F"/>
    <w:rsid w:val="00CE5585"/>
    <w:rsid w:val="00CE69D9"/>
    <w:rsid w:val="00CE7B44"/>
    <w:rsid w:val="00CF0AF2"/>
    <w:rsid w:val="00CF7BCD"/>
    <w:rsid w:val="00D018A9"/>
    <w:rsid w:val="00D072D7"/>
    <w:rsid w:val="00D078DD"/>
    <w:rsid w:val="00D11379"/>
    <w:rsid w:val="00D11488"/>
    <w:rsid w:val="00D25AA0"/>
    <w:rsid w:val="00D33F06"/>
    <w:rsid w:val="00D363C5"/>
    <w:rsid w:val="00D37BC8"/>
    <w:rsid w:val="00D43FBF"/>
    <w:rsid w:val="00D46091"/>
    <w:rsid w:val="00D50C52"/>
    <w:rsid w:val="00D55A8B"/>
    <w:rsid w:val="00D57026"/>
    <w:rsid w:val="00D7480D"/>
    <w:rsid w:val="00D7579A"/>
    <w:rsid w:val="00D84D93"/>
    <w:rsid w:val="00D9558A"/>
    <w:rsid w:val="00D979E3"/>
    <w:rsid w:val="00DA15D0"/>
    <w:rsid w:val="00DA2971"/>
    <w:rsid w:val="00DA3E7A"/>
    <w:rsid w:val="00DB6A47"/>
    <w:rsid w:val="00DC1E45"/>
    <w:rsid w:val="00DC2AB0"/>
    <w:rsid w:val="00DC75AA"/>
    <w:rsid w:val="00DF0E37"/>
    <w:rsid w:val="00DF1520"/>
    <w:rsid w:val="00DF31B5"/>
    <w:rsid w:val="00DF642B"/>
    <w:rsid w:val="00DF7A5F"/>
    <w:rsid w:val="00E043D3"/>
    <w:rsid w:val="00E1486C"/>
    <w:rsid w:val="00E16330"/>
    <w:rsid w:val="00E21D21"/>
    <w:rsid w:val="00E225D1"/>
    <w:rsid w:val="00E33CCE"/>
    <w:rsid w:val="00E4182D"/>
    <w:rsid w:val="00E4313E"/>
    <w:rsid w:val="00E47DF8"/>
    <w:rsid w:val="00E55DC9"/>
    <w:rsid w:val="00E56FF4"/>
    <w:rsid w:val="00E6201A"/>
    <w:rsid w:val="00E76A94"/>
    <w:rsid w:val="00E81127"/>
    <w:rsid w:val="00E9736D"/>
    <w:rsid w:val="00E973E0"/>
    <w:rsid w:val="00EB29B7"/>
    <w:rsid w:val="00EC2076"/>
    <w:rsid w:val="00ED0265"/>
    <w:rsid w:val="00ED0ABA"/>
    <w:rsid w:val="00ED2DBA"/>
    <w:rsid w:val="00ED7C9F"/>
    <w:rsid w:val="00EE2948"/>
    <w:rsid w:val="00EE2C12"/>
    <w:rsid w:val="00EE2E8B"/>
    <w:rsid w:val="00EE3689"/>
    <w:rsid w:val="00EE4C1F"/>
    <w:rsid w:val="00EE54AF"/>
    <w:rsid w:val="00EF508C"/>
    <w:rsid w:val="00EF6A50"/>
    <w:rsid w:val="00F17354"/>
    <w:rsid w:val="00F22C53"/>
    <w:rsid w:val="00F328E5"/>
    <w:rsid w:val="00F35EE7"/>
    <w:rsid w:val="00F551F6"/>
    <w:rsid w:val="00F635EA"/>
    <w:rsid w:val="00F77A94"/>
    <w:rsid w:val="00F8091C"/>
    <w:rsid w:val="00F83BE3"/>
    <w:rsid w:val="00F849EE"/>
    <w:rsid w:val="00F86199"/>
    <w:rsid w:val="00FA0203"/>
    <w:rsid w:val="00FD2114"/>
    <w:rsid w:val="00FD22EB"/>
    <w:rsid w:val="00FE0AC9"/>
    <w:rsid w:val="00FE3AC9"/>
    <w:rsid w:val="25BF492B"/>
    <w:rsid w:val="491D6449"/>
    <w:rsid w:val="5EA26F25"/>
    <w:rsid w:val="7285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rFonts w:ascii="Times New Roman" w:hAnsi="Times New Roman" w:cs="Times New Roman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Pa18"/>
    <w:basedOn w:val="1"/>
    <w:next w:val="1"/>
    <w:qFormat/>
    <w:uiPriority w:val="99"/>
    <w:pPr>
      <w:widowControl/>
      <w:autoSpaceDE w:val="0"/>
      <w:autoSpaceDN w:val="0"/>
      <w:adjustRightInd w:val="0"/>
      <w:spacing w:line="241" w:lineRule="atLeast"/>
      <w:jc w:val="left"/>
    </w:pPr>
    <w:rPr>
      <w:rFonts w:ascii="Helvetica Neue LT Pro" w:hAnsi="Helvetica Neue LT Pro"/>
      <w:kern w:val="0"/>
    </w:rPr>
  </w:style>
  <w:style w:type="character" w:customStyle="1" w:styleId="9">
    <w:name w:val="A0"/>
    <w:qFormat/>
    <w:uiPriority w:val="99"/>
    <w:rPr>
      <w:rFonts w:cs="Helvetica Neue LT Pro"/>
      <w:color w:val="000000"/>
      <w:sz w:val="16"/>
      <w:szCs w:val="16"/>
    </w:r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822</Characters>
  <Lines>7</Lines>
  <Paragraphs>2</Paragraphs>
  <TotalTime>0</TotalTime>
  <ScaleCrop>false</ScaleCrop>
  <LinksUpToDate>false</LinksUpToDate>
  <CharactersWithSpaces>943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2022-07-25T15:28:00Z</dcterms:created>
  <dc:creator>Microsoft Office 用户</dc:creator>
  <cp:lastModifiedBy>哒哒嗒</cp:lastModifiedBy>
  <dcterms:modified xsi:type="dcterms:W3CDTF">2024-07-04T16:32:32Z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F3E95BDFD42940CB891DA27E84AB1D2F_12</vt:lpwstr>
  </property>
</Properties>
</file>