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048" w:rsidRDefault="00FB7048" w:rsidP="00FB7048">
      <w:pPr>
        <w:pStyle w:val="Heading1"/>
        <w:rPr>
          <w:lang w:val="en-US"/>
        </w:rPr>
      </w:pPr>
      <w:r>
        <w:rPr>
          <w:lang w:val="en-US"/>
        </w:rPr>
        <w:t>Supplementary figures</w:t>
      </w:r>
    </w:p>
    <w:p w:rsidR="00FB7048" w:rsidRDefault="00FB7048" w:rsidP="00FB7048">
      <w:pPr>
        <w:jc w:val="both"/>
        <w:rPr>
          <w:lang w:val="en-US"/>
        </w:rPr>
      </w:pPr>
    </w:p>
    <w:p w:rsidR="00FB7048" w:rsidRDefault="00FB7048" w:rsidP="00FB7048">
      <w:pPr>
        <w:jc w:val="both"/>
        <w:rPr>
          <w:lang w:val="en-US"/>
        </w:rPr>
      </w:pPr>
      <w:r>
        <w:rPr>
          <w:noProof/>
          <w:lang w:eastAsia="en-IN"/>
        </w:rPr>
        <w:drawing>
          <wp:inline distT="0" distB="0" distL="0" distR="0" wp14:anchorId="1E51B696" wp14:editId="3FD65111">
            <wp:extent cx="6120130" cy="40062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048" w:rsidRPr="008E4BE0" w:rsidRDefault="00FB7048" w:rsidP="00FB7048">
      <w:pPr>
        <w:spacing w:line="276" w:lineRule="auto"/>
        <w:jc w:val="both"/>
        <w:rPr>
          <w:rFonts w:hAnsi="Calibri"/>
          <w:color w:val="000000" w:themeColor="text1"/>
          <w:kern w:val="24"/>
          <w:sz w:val="18"/>
          <w:szCs w:val="18"/>
          <w:lang w:val="en-US"/>
        </w:rPr>
      </w:pP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Supplementary figure 1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. 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High GDNF and GFRA1 expression are not associated with increased survival in IDH wildtype GBM, but high GDNF expression confers a survival advantage in MGMT </w:t>
      </w:r>
      <w:proofErr w:type="spellStart"/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unmethylated</w:t>
      </w:r>
      <w:proofErr w:type="spellEnd"/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 IDH WT GBM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. 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(a) 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Kaplan-Meier survival curves based on TGCA data showing 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(a)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no significant overall survival difference between GDNF-high and GDNF-low IDH WT GBM groups. 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(b)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 </w:t>
      </w:r>
      <w:proofErr w:type="gramStart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no</w:t>
      </w:r>
      <w:proofErr w:type="gramEnd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significant overall survival difference between GFRA1-high and GFRA1-low IDH WT GBM groups. 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(c)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gramStart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a</w:t>
      </w:r>
      <w:proofErr w:type="gramEnd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significant overall survival difference between GDNF-high and GDNF-low MGMT </w:t>
      </w:r>
      <w:proofErr w:type="spellStart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unmethylated</w:t>
      </w:r>
      <w:proofErr w:type="spellEnd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IDH WT GBM groups. * = p≤0.05, with Log-rank K and Wilcoxon tests.     </w:t>
      </w:r>
    </w:p>
    <w:p w:rsidR="00FB7048" w:rsidRDefault="00FB7048" w:rsidP="00FB7048">
      <w:pPr>
        <w:jc w:val="both"/>
        <w:rPr>
          <w:lang w:val="en-US"/>
        </w:rPr>
      </w:pPr>
    </w:p>
    <w:p w:rsidR="00FB7048" w:rsidRDefault="00FB7048" w:rsidP="00FB7048">
      <w:pPr>
        <w:jc w:val="both"/>
        <w:rPr>
          <w:lang w:val="en-US"/>
        </w:rPr>
      </w:pPr>
    </w:p>
    <w:p w:rsidR="00FB7048" w:rsidRDefault="00FB7048" w:rsidP="00FB7048">
      <w:pPr>
        <w:jc w:val="both"/>
        <w:rPr>
          <w:lang w:val="en-US"/>
        </w:rPr>
      </w:pPr>
    </w:p>
    <w:p w:rsidR="00FB7048" w:rsidRDefault="00FB7048" w:rsidP="00FB7048">
      <w:pPr>
        <w:shd w:val="clear" w:color="auto" w:fill="FFFFFF"/>
        <w:spacing w:after="0" w:line="276" w:lineRule="auto"/>
        <w:jc w:val="center"/>
        <w:rPr>
          <w:rFonts w:ascii="Arial" w:eastAsia="Times New Roman" w:hAnsi="Arial" w:cs="Arial"/>
          <w:bCs/>
          <w:color w:val="1F4E79" w:themeColor="accent1" w:themeShade="80"/>
          <w:sz w:val="20"/>
          <w:szCs w:val="20"/>
          <w:lang w:eastAsia="nl-NL"/>
        </w:rPr>
      </w:pPr>
      <w:r>
        <w:rPr>
          <w:noProof/>
          <w:lang w:eastAsia="en-IN"/>
        </w:rPr>
        <w:lastRenderedPageBreak/>
        <w:drawing>
          <wp:inline distT="0" distB="0" distL="0" distR="0" wp14:anchorId="1BF0BD7A" wp14:editId="7DA1A744">
            <wp:extent cx="4743821" cy="47146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025" cy="4736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048" w:rsidRDefault="00FB7048" w:rsidP="00FB7048">
      <w:pPr>
        <w:shd w:val="clear" w:color="auto" w:fill="FFFFFF"/>
        <w:spacing w:after="0" w:line="276" w:lineRule="auto"/>
        <w:rPr>
          <w:rFonts w:ascii="Arial" w:eastAsia="Times New Roman" w:hAnsi="Arial" w:cs="Arial"/>
          <w:bCs/>
          <w:color w:val="1F4E79" w:themeColor="accent1" w:themeShade="80"/>
          <w:sz w:val="20"/>
          <w:szCs w:val="20"/>
          <w:lang w:eastAsia="nl-NL"/>
        </w:rPr>
      </w:pPr>
    </w:p>
    <w:p w:rsidR="00FB7048" w:rsidRPr="00A526E6" w:rsidRDefault="00FB7048" w:rsidP="00FB7048">
      <w:pPr>
        <w:jc w:val="both"/>
        <w:rPr>
          <w:rFonts w:hAnsi="Calibri"/>
          <w:color w:val="000000" w:themeColor="text1"/>
          <w:kern w:val="24"/>
          <w:sz w:val="18"/>
          <w:szCs w:val="18"/>
          <w:lang w:val="en-US"/>
        </w:rPr>
      </w:pP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Supplementary figure 2: IHC quantifications of GFRA1 </w:t>
      </w:r>
      <w:proofErr w:type="spellStart"/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stainings</w:t>
      </w:r>
      <w:proofErr w:type="spellEnd"/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 </w:t>
      </w:r>
      <w:r w:rsidRPr="00377F14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(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a</w:t>
      </w:r>
      <w:r w:rsidRPr="00377F14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)</w:t>
      </w:r>
      <w:r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spellStart"/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Immunohistochemical</w:t>
      </w:r>
      <w:proofErr w:type="spellEnd"/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(IHC) 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GFRA1 control 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staining of 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>adrenal gland tissue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. Nuclei counter stained with hematoxylin.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Scale bar: 100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r>
        <w:rPr>
          <w:rFonts w:cstheme="minorHAnsi"/>
          <w:color w:val="000000" w:themeColor="text1"/>
          <w:kern w:val="24"/>
          <w:sz w:val="18"/>
          <w:szCs w:val="18"/>
          <w:lang w:val="en-US"/>
        </w:rPr>
        <w:t>µ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>m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.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(b) </w:t>
      </w:r>
      <w:proofErr w:type="spellStart"/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Immunohistochemical</w:t>
      </w:r>
      <w:proofErr w:type="spellEnd"/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(IHC) 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GFRA1 control 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staining of 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renal </w:t>
      </w:r>
      <w:proofErr w:type="spellStart"/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>tubuli</w:t>
      </w:r>
      <w:proofErr w:type="spellEnd"/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tissue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Nuclei counter stained with hematoxylin.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Scale bar: 100 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l-GR"/>
        </w:rPr>
        <w:t>μ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m.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(c)</w:t>
      </w:r>
      <w:r w:rsidRPr="00377F14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 xml:space="preserve"> 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Quantification of the </w:t>
      </w:r>
      <w:proofErr w:type="spellStart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i</w:t>
      </w:r>
      <w:r w:rsidRPr="0030780F">
        <w:rPr>
          <w:rFonts w:hAnsi="Calibri"/>
          <w:color w:val="000000" w:themeColor="text1"/>
          <w:kern w:val="24"/>
          <w:sz w:val="18"/>
          <w:szCs w:val="18"/>
          <w:lang w:val="en-US"/>
        </w:rPr>
        <w:t>mmunohistochemical</w:t>
      </w:r>
      <w:proofErr w:type="spellEnd"/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(IHC) staining of 3D spheroid sections reveal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s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varying expression of GFRA1 across four patient-derived 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>glioblastoma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r>
        <w:rPr>
          <w:rFonts w:hAnsi="Calibri"/>
          <w:color w:val="000000" w:themeColor="text1"/>
          <w:kern w:val="24"/>
          <w:sz w:val="18"/>
          <w:szCs w:val="18"/>
          <w:lang w:val="en-US"/>
        </w:rPr>
        <w:t>spheroid cultures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.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r w:rsidRPr="00A526E6">
        <w:rPr>
          <w:rFonts w:hAnsi="Calibri"/>
          <w:color w:val="000000" w:themeColor="text1"/>
          <w:kern w:val="24"/>
          <w:sz w:val="18"/>
          <w:szCs w:val="18"/>
          <w:lang w:val="en-US"/>
        </w:rPr>
        <w:t>(n=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12</w:t>
      </w:r>
      <w:r w:rsidRPr="00A526E6">
        <w:rPr>
          <w:rFonts w:hAnsi="Calibri"/>
          <w:color w:val="000000" w:themeColor="text1"/>
          <w:kern w:val="24"/>
          <w:sz w:val="18"/>
          <w:szCs w:val="18"/>
          <w:lang w:val="en-US"/>
        </w:rPr>
        <w:t>, mean ± S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D</w:t>
      </w:r>
      <w:r w:rsidRPr="00A526E6">
        <w:rPr>
          <w:rFonts w:hAnsi="Calibri"/>
          <w:color w:val="000000" w:themeColor="text1"/>
          <w:kern w:val="24"/>
          <w:sz w:val="18"/>
          <w:szCs w:val="18"/>
          <w:lang w:val="en-US"/>
        </w:rPr>
        <w:t>). 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(</w:t>
      </w:r>
      <w:r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d</w:t>
      </w:r>
      <w:r w:rsidRPr="008E4BE0">
        <w:rPr>
          <w:rFonts w:hAnsi="Calibri"/>
          <w:b/>
          <w:bCs/>
          <w:color w:val="000000" w:themeColor="text1"/>
          <w:kern w:val="24"/>
          <w:sz w:val="18"/>
          <w:szCs w:val="18"/>
          <w:lang w:val="en-US"/>
        </w:rPr>
        <w:t>)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Quantification of IHC </w:t>
      </w:r>
      <w:proofErr w:type="spellStart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stainings</w:t>
      </w:r>
      <w:proofErr w:type="spellEnd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of 3D spheroid sections reveal statistically significant lower expressions of GFRA1 in the T111 KO cell lines, compared to the GFRA1 expressing NTC1 cell lines</w:t>
      </w:r>
      <w:r w:rsidRPr="00377F14">
        <w:rPr>
          <w:rFonts w:hAnsi="Calibri"/>
          <w:color w:val="000000" w:themeColor="text1"/>
          <w:kern w:val="24"/>
          <w:sz w:val="18"/>
          <w:szCs w:val="18"/>
          <w:lang w:val="en-US"/>
        </w:rPr>
        <w:t>.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 xml:space="preserve"> </w:t>
      </w:r>
      <w:r w:rsidRPr="00A526E6">
        <w:rPr>
          <w:rFonts w:hAnsi="Calibri"/>
          <w:color w:val="000000" w:themeColor="text1"/>
          <w:kern w:val="24"/>
          <w:sz w:val="18"/>
          <w:szCs w:val="18"/>
          <w:lang w:val="en-US"/>
        </w:rPr>
        <w:t>(n=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12</w:t>
      </w:r>
      <w:r w:rsidRPr="00A526E6">
        <w:rPr>
          <w:rFonts w:hAnsi="Calibri"/>
          <w:color w:val="000000" w:themeColor="text1"/>
          <w:kern w:val="24"/>
          <w:sz w:val="18"/>
          <w:szCs w:val="18"/>
          <w:lang w:val="en-US"/>
        </w:rPr>
        <w:t>, mean ± S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D</w:t>
      </w:r>
      <w:r w:rsidRPr="00A526E6">
        <w:rPr>
          <w:rFonts w:hAnsi="Calibri"/>
          <w:color w:val="000000" w:themeColor="text1"/>
          <w:kern w:val="24"/>
          <w:sz w:val="18"/>
          <w:szCs w:val="18"/>
          <w:lang w:val="en-US"/>
        </w:rPr>
        <w:t>)</w:t>
      </w:r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. Statistical analysis with one-way ANOVA: * = p ≤ 0</w:t>
      </w:r>
      <w:proofErr w:type="gramStart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,05</w:t>
      </w:r>
      <w:proofErr w:type="gramEnd"/>
      <w:r w:rsidRPr="008E4BE0">
        <w:rPr>
          <w:rFonts w:hAnsi="Calibri"/>
          <w:color w:val="000000" w:themeColor="text1"/>
          <w:kern w:val="24"/>
          <w:sz w:val="18"/>
          <w:szCs w:val="18"/>
          <w:lang w:val="en-US"/>
        </w:rPr>
        <w:t>, ** = p ≤ 0,01, *** = p ≤ 0,001, **** = p ≤ 0,0001.</w:t>
      </w:r>
    </w:p>
    <w:p w:rsidR="00FB7048" w:rsidRDefault="00FB7048" w:rsidP="00FB7048">
      <w:pPr>
        <w:jc w:val="both"/>
        <w:rPr>
          <w:lang w:val="en-US"/>
        </w:rPr>
      </w:pPr>
    </w:p>
    <w:p w:rsidR="00FB7048" w:rsidRDefault="00FB7048" w:rsidP="00FB7048">
      <w:pPr>
        <w:jc w:val="both"/>
        <w:rPr>
          <w:lang w:val="en-US"/>
        </w:rPr>
      </w:pPr>
      <w:bookmarkStart w:id="0" w:name="_Hlk168688056"/>
      <w:bookmarkStart w:id="1" w:name="_GoBack"/>
      <w:r>
        <w:rPr>
          <w:noProof/>
          <w:lang w:eastAsia="en-IN"/>
        </w:rPr>
        <w:lastRenderedPageBreak/>
        <w:drawing>
          <wp:inline distT="0" distB="0" distL="0" distR="0" wp14:anchorId="3D9AD384" wp14:editId="77B13382">
            <wp:extent cx="6120130" cy="3073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FB7048" w:rsidRPr="00E43269" w:rsidRDefault="00FB7048" w:rsidP="00FB7048">
      <w:pPr>
        <w:jc w:val="both"/>
        <w:rPr>
          <w:lang w:val="en-US"/>
        </w:rPr>
      </w:pPr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 xml:space="preserve">Supplementary figure 3. Western Blot JESS results showing decreased GFRA1 expression in the KO spheroid cell lines. </w:t>
      </w:r>
      <w:r w:rsidRPr="00A23855"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(</w:t>
      </w:r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a</w:t>
      </w:r>
      <w:r w:rsidRPr="00A23855"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)</w:t>
      </w:r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 xml:space="preserve"> The JESS </w:t>
      </w:r>
      <w:proofErr w:type="spellStart"/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Biotechne</w:t>
      </w:r>
      <w:proofErr w:type="spellEnd"/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 xml:space="preserve"> systems does not run the Western Blot assay as a full gel but as multiple individual capillaries. </w:t>
      </w:r>
      <w:r w:rsidRPr="008E4BE0">
        <w:rPr>
          <w:rFonts w:hAnsi="Calibri"/>
          <w:color w:val="000000" w:themeColor="text1"/>
          <w:kern w:val="24"/>
          <w:sz w:val="20"/>
          <w:szCs w:val="20"/>
          <w:lang w:val="en-US"/>
        </w:rPr>
        <w:t>Each capillary corresponds to a sample, the first panel of four capillaries show the β</w:t>
      </w:r>
      <w:r w:rsidRPr="00A23855">
        <w:rPr>
          <w:rFonts w:hAnsi="Calibri"/>
          <w:color w:val="000000" w:themeColor="text1"/>
          <w:kern w:val="24"/>
          <w:sz w:val="20"/>
          <w:szCs w:val="20"/>
          <w:lang w:val="en-US"/>
        </w:rPr>
        <w:t>-actin</w:t>
      </w:r>
      <w:r>
        <w:rPr>
          <w:rFonts w:hAnsi="Calibri"/>
          <w:color w:val="000000" w:themeColor="text1"/>
          <w:kern w:val="24"/>
          <w:sz w:val="20"/>
          <w:szCs w:val="20"/>
          <w:lang w:val="en-US"/>
        </w:rPr>
        <w:t xml:space="preserve"> loading control for T87 NTC1, T87 GFRA1 KO1, T87 GFRA1 KO2 and T87 GFRA1 KO3 from left to right. The second panel shows GFRA1 expression in these same samples.</w:t>
      </w:r>
      <w:r w:rsidRPr="00A23855">
        <w:rPr>
          <w:rFonts w:hAnsi="Calibri"/>
          <w:color w:val="000000" w:themeColor="text1"/>
          <w:kern w:val="24"/>
          <w:sz w:val="20"/>
          <w:szCs w:val="20"/>
          <w:lang w:val="en-US"/>
        </w:rPr>
        <w:t xml:space="preserve"> </w:t>
      </w:r>
      <w:r w:rsidRPr="00A23855"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(</w:t>
      </w:r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b</w:t>
      </w:r>
      <w:r w:rsidRPr="00A23855"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>)</w:t>
      </w:r>
      <w:r>
        <w:rPr>
          <w:rFonts w:hAnsi="Calibri"/>
          <w:b/>
          <w:bCs/>
          <w:color w:val="000000" w:themeColor="text1"/>
          <w:kern w:val="24"/>
          <w:sz w:val="20"/>
          <w:szCs w:val="20"/>
          <w:lang w:val="en-US"/>
        </w:rPr>
        <w:t xml:space="preserve"> </w:t>
      </w:r>
      <w:r>
        <w:rPr>
          <w:rFonts w:hAnsi="Calibri"/>
          <w:color w:val="000000" w:themeColor="text1"/>
          <w:kern w:val="24"/>
          <w:sz w:val="20"/>
          <w:szCs w:val="20"/>
          <w:lang w:val="en-US"/>
        </w:rPr>
        <w:t>The</w:t>
      </w:r>
      <w:r w:rsidRPr="00493D3C">
        <w:rPr>
          <w:rFonts w:hAnsi="Calibri"/>
          <w:color w:val="000000" w:themeColor="text1"/>
          <w:kern w:val="24"/>
          <w:sz w:val="20"/>
          <w:szCs w:val="20"/>
          <w:lang w:val="en-US"/>
        </w:rPr>
        <w:t xml:space="preserve"> first panel of four capillaries show the β</w:t>
      </w:r>
      <w:r w:rsidRPr="00A23855">
        <w:rPr>
          <w:rFonts w:hAnsi="Calibri"/>
          <w:color w:val="000000" w:themeColor="text1"/>
          <w:kern w:val="24"/>
          <w:sz w:val="20"/>
          <w:szCs w:val="20"/>
          <w:lang w:val="en-US"/>
        </w:rPr>
        <w:t>-actin</w:t>
      </w:r>
      <w:r>
        <w:rPr>
          <w:rFonts w:hAnsi="Calibri"/>
          <w:color w:val="000000" w:themeColor="text1"/>
          <w:kern w:val="24"/>
          <w:sz w:val="20"/>
          <w:szCs w:val="20"/>
          <w:lang w:val="en-US"/>
        </w:rPr>
        <w:t xml:space="preserve"> loading control for T111 NTC1, T111 GFRA1 KO1, T111 GFRA1 KO2 and T111 GFRA1 KO3 from left to right. The second panel shows GFRA1 expression in these same samples.</w:t>
      </w:r>
    </w:p>
    <w:bookmarkEnd w:id="0"/>
    <w:p w:rsidR="004A50CC" w:rsidRDefault="004A50CC"/>
    <w:sectPr w:rsidR="004A5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48"/>
    <w:rsid w:val="0000438A"/>
    <w:rsid w:val="000046B9"/>
    <w:rsid w:val="00004D59"/>
    <w:rsid w:val="000146C5"/>
    <w:rsid w:val="00016B9B"/>
    <w:rsid w:val="000212BE"/>
    <w:rsid w:val="00023A3E"/>
    <w:rsid w:val="00027DB2"/>
    <w:rsid w:val="00027FA0"/>
    <w:rsid w:val="00041ACF"/>
    <w:rsid w:val="00052F58"/>
    <w:rsid w:val="000666AE"/>
    <w:rsid w:val="00075FEE"/>
    <w:rsid w:val="000771D7"/>
    <w:rsid w:val="0007776D"/>
    <w:rsid w:val="000966B6"/>
    <w:rsid w:val="000A22FD"/>
    <w:rsid w:val="000A28C1"/>
    <w:rsid w:val="000A3D73"/>
    <w:rsid w:val="000A563B"/>
    <w:rsid w:val="000C0FEA"/>
    <w:rsid w:val="000C61FF"/>
    <w:rsid w:val="000E0971"/>
    <w:rsid w:val="00107886"/>
    <w:rsid w:val="001101B0"/>
    <w:rsid w:val="00112808"/>
    <w:rsid w:val="00117FEA"/>
    <w:rsid w:val="00132EE4"/>
    <w:rsid w:val="0013455E"/>
    <w:rsid w:val="00137D4B"/>
    <w:rsid w:val="001437F7"/>
    <w:rsid w:val="00151025"/>
    <w:rsid w:val="001673ED"/>
    <w:rsid w:val="00170952"/>
    <w:rsid w:val="00176371"/>
    <w:rsid w:val="00184F3C"/>
    <w:rsid w:val="001A31C8"/>
    <w:rsid w:val="001A7AB7"/>
    <w:rsid w:val="001B34E0"/>
    <w:rsid w:val="001B4A43"/>
    <w:rsid w:val="001D190D"/>
    <w:rsid w:val="001D73C6"/>
    <w:rsid w:val="001F7D12"/>
    <w:rsid w:val="00225178"/>
    <w:rsid w:val="00233865"/>
    <w:rsid w:val="00242AA9"/>
    <w:rsid w:val="00244B29"/>
    <w:rsid w:val="00267A50"/>
    <w:rsid w:val="00275A07"/>
    <w:rsid w:val="002767E6"/>
    <w:rsid w:val="00282A95"/>
    <w:rsid w:val="00282E0F"/>
    <w:rsid w:val="002844DD"/>
    <w:rsid w:val="002D4257"/>
    <w:rsid w:val="002D779E"/>
    <w:rsid w:val="002E3D06"/>
    <w:rsid w:val="003113A6"/>
    <w:rsid w:val="00330649"/>
    <w:rsid w:val="003343EC"/>
    <w:rsid w:val="003427BB"/>
    <w:rsid w:val="00356CA4"/>
    <w:rsid w:val="00376A56"/>
    <w:rsid w:val="0037710C"/>
    <w:rsid w:val="003856B2"/>
    <w:rsid w:val="0039696B"/>
    <w:rsid w:val="003A2BA0"/>
    <w:rsid w:val="003A487D"/>
    <w:rsid w:val="003B2679"/>
    <w:rsid w:val="003C5CB3"/>
    <w:rsid w:val="003D1256"/>
    <w:rsid w:val="003E0BBC"/>
    <w:rsid w:val="003E7933"/>
    <w:rsid w:val="003F3E19"/>
    <w:rsid w:val="003F7EFE"/>
    <w:rsid w:val="00400125"/>
    <w:rsid w:val="00410247"/>
    <w:rsid w:val="00416A3C"/>
    <w:rsid w:val="0042354A"/>
    <w:rsid w:val="00436045"/>
    <w:rsid w:val="004372A6"/>
    <w:rsid w:val="004432ED"/>
    <w:rsid w:val="00446364"/>
    <w:rsid w:val="00447C0E"/>
    <w:rsid w:val="00477AE7"/>
    <w:rsid w:val="004827E4"/>
    <w:rsid w:val="00482DC2"/>
    <w:rsid w:val="00487674"/>
    <w:rsid w:val="004A50CC"/>
    <w:rsid w:val="004B070F"/>
    <w:rsid w:val="004B11B3"/>
    <w:rsid w:val="004C0006"/>
    <w:rsid w:val="004C1E52"/>
    <w:rsid w:val="004D7560"/>
    <w:rsid w:val="005041A7"/>
    <w:rsid w:val="00512B52"/>
    <w:rsid w:val="00514F2D"/>
    <w:rsid w:val="005225E2"/>
    <w:rsid w:val="0053024E"/>
    <w:rsid w:val="00531542"/>
    <w:rsid w:val="00534371"/>
    <w:rsid w:val="005372B7"/>
    <w:rsid w:val="00540772"/>
    <w:rsid w:val="00544F03"/>
    <w:rsid w:val="00552ADA"/>
    <w:rsid w:val="00553421"/>
    <w:rsid w:val="00562376"/>
    <w:rsid w:val="005629AE"/>
    <w:rsid w:val="00566E38"/>
    <w:rsid w:val="00571811"/>
    <w:rsid w:val="0057269F"/>
    <w:rsid w:val="00576485"/>
    <w:rsid w:val="0058272A"/>
    <w:rsid w:val="005858A2"/>
    <w:rsid w:val="005A222F"/>
    <w:rsid w:val="005B0307"/>
    <w:rsid w:val="005B5326"/>
    <w:rsid w:val="005C3A59"/>
    <w:rsid w:val="005E4802"/>
    <w:rsid w:val="005E4F73"/>
    <w:rsid w:val="005E552F"/>
    <w:rsid w:val="005F1B2E"/>
    <w:rsid w:val="005F5A11"/>
    <w:rsid w:val="005F79CD"/>
    <w:rsid w:val="00602173"/>
    <w:rsid w:val="00610DE4"/>
    <w:rsid w:val="006177F0"/>
    <w:rsid w:val="00620A58"/>
    <w:rsid w:val="00624532"/>
    <w:rsid w:val="00625755"/>
    <w:rsid w:val="00637641"/>
    <w:rsid w:val="00637A27"/>
    <w:rsid w:val="006406A9"/>
    <w:rsid w:val="0064351F"/>
    <w:rsid w:val="00661BC0"/>
    <w:rsid w:val="006708B8"/>
    <w:rsid w:val="00670DB0"/>
    <w:rsid w:val="00671F19"/>
    <w:rsid w:val="00671F9F"/>
    <w:rsid w:val="00672DC2"/>
    <w:rsid w:val="00681443"/>
    <w:rsid w:val="00682BE0"/>
    <w:rsid w:val="006835AC"/>
    <w:rsid w:val="006858D4"/>
    <w:rsid w:val="006A15DD"/>
    <w:rsid w:val="006A2713"/>
    <w:rsid w:val="006B22E6"/>
    <w:rsid w:val="006B3890"/>
    <w:rsid w:val="006B7A9B"/>
    <w:rsid w:val="006C545A"/>
    <w:rsid w:val="006D5AD9"/>
    <w:rsid w:val="006D77DE"/>
    <w:rsid w:val="006E7A6E"/>
    <w:rsid w:val="00702EA3"/>
    <w:rsid w:val="007118EA"/>
    <w:rsid w:val="00714534"/>
    <w:rsid w:val="007416F5"/>
    <w:rsid w:val="00741A48"/>
    <w:rsid w:val="0074232D"/>
    <w:rsid w:val="0074583B"/>
    <w:rsid w:val="0076641F"/>
    <w:rsid w:val="00776061"/>
    <w:rsid w:val="007A2F56"/>
    <w:rsid w:val="007D7F9D"/>
    <w:rsid w:val="007E1674"/>
    <w:rsid w:val="007E6C1F"/>
    <w:rsid w:val="007F3C80"/>
    <w:rsid w:val="007F5853"/>
    <w:rsid w:val="008019D5"/>
    <w:rsid w:val="00810C4C"/>
    <w:rsid w:val="0081449F"/>
    <w:rsid w:val="00823AEE"/>
    <w:rsid w:val="00834ED8"/>
    <w:rsid w:val="00853428"/>
    <w:rsid w:val="00856E84"/>
    <w:rsid w:val="008573EE"/>
    <w:rsid w:val="008617AE"/>
    <w:rsid w:val="00863729"/>
    <w:rsid w:val="00880F19"/>
    <w:rsid w:val="008854F5"/>
    <w:rsid w:val="00893E00"/>
    <w:rsid w:val="00894E2B"/>
    <w:rsid w:val="008A4982"/>
    <w:rsid w:val="008B1530"/>
    <w:rsid w:val="008E0793"/>
    <w:rsid w:val="008E44AE"/>
    <w:rsid w:val="008F4F28"/>
    <w:rsid w:val="00903C64"/>
    <w:rsid w:val="00903D55"/>
    <w:rsid w:val="00912200"/>
    <w:rsid w:val="00925E3F"/>
    <w:rsid w:val="009267CC"/>
    <w:rsid w:val="00931885"/>
    <w:rsid w:val="009357B1"/>
    <w:rsid w:val="00944389"/>
    <w:rsid w:val="00951B46"/>
    <w:rsid w:val="00955DF6"/>
    <w:rsid w:val="0096213C"/>
    <w:rsid w:val="009658E9"/>
    <w:rsid w:val="00965B7B"/>
    <w:rsid w:val="0097678D"/>
    <w:rsid w:val="00977684"/>
    <w:rsid w:val="009C7C20"/>
    <w:rsid w:val="009D38CB"/>
    <w:rsid w:val="009E45E0"/>
    <w:rsid w:val="00A062CC"/>
    <w:rsid w:val="00A1717A"/>
    <w:rsid w:val="00A20649"/>
    <w:rsid w:val="00A27AAA"/>
    <w:rsid w:val="00A37C62"/>
    <w:rsid w:val="00A5202A"/>
    <w:rsid w:val="00A5535A"/>
    <w:rsid w:val="00A66D4C"/>
    <w:rsid w:val="00A70E05"/>
    <w:rsid w:val="00A932A3"/>
    <w:rsid w:val="00AA31C4"/>
    <w:rsid w:val="00AA47FE"/>
    <w:rsid w:val="00AB569E"/>
    <w:rsid w:val="00AB5726"/>
    <w:rsid w:val="00AB6E47"/>
    <w:rsid w:val="00AD39B0"/>
    <w:rsid w:val="00AE22C2"/>
    <w:rsid w:val="00AF6BEE"/>
    <w:rsid w:val="00B013C2"/>
    <w:rsid w:val="00B32996"/>
    <w:rsid w:val="00B42B71"/>
    <w:rsid w:val="00B444FF"/>
    <w:rsid w:val="00B47D4E"/>
    <w:rsid w:val="00B5596C"/>
    <w:rsid w:val="00B72C4E"/>
    <w:rsid w:val="00B74D20"/>
    <w:rsid w:val="00B7796B"/>
    <w:rsid w:val="00B80AC3"/>
    <w:rsid w:val="00B96776"/>
    <w:rsid w:val="00BB7029"/>
    <w:rsid w:val="00BC1AB3"/>
    <w:rsid w:val="00BC7D6C"/>
    <w:rsid w:val="00BD408D"/>
    <w:rsid w:val="00BE6DBE"/>
    <w:rsid w:val="00BF6DBA"/>
    <w:rsid w:val="00BF7B1E"/>
    <w:rsid w:val="00C2583E"/>
    <w:rsid w:val="00C3447F"/>
    <w:rsid w:val="00C441C9"/>
    <w:rsid w:val="00C45D46"/>
    <w:rsid w:val="00C53AB3"/>
    <w:rsid w:val="00C63053"/>
    <w:rsid w:val="00C8065F"/>
    <w:rsid w:val="00C91632"/>
    <w:rsid w:val="00CA4ABB"/>
    <w:rsid w:val="00CB1B07"/>
    <w:rsid w:val="00CC2D25"/>
    <w:rsid w:val="00CC6CFA"/>
    <w:rsid w:val="00CE05AC"/>
    <w:rsid w:val="00CF0E82"/>
    <w:rsid w:val="00CF64AF"/>
    <w:rsid w:val="00D00C69"/>
    <w:rsid w:val="00D01A75"/>
    <w:rsid w:val="00D11748"/>
    <w:rsid w:val="00D12AAC"/>
    <w:rsid w:val="00D203BE"/>
    <w:rsid w:val="00D214DA"/>
    <w:rsid w:val="00D25B6A"/>
    <w:rsid w:val="00D30AEC"/>
    <w:rsid w:val="00D32CFE"/>
    <w:rsid w:val="00D35069"/>
    <w:rsid w:val="00D37D3B"/>
    <w:rsid w:val="00D420DF"/>
    <w:rsid w:val="00D44261"/>
    <w:rsid w:val="00D466D6"/>
    <w:rsid w:val="00D53019"/>
    <w:rsid w:val="00D65BC7"/>
    <w:rsid w:val="00D71ABD"/>
    <w:rsid w:val="00D844AC"/>
    <w:rsid w:val="00D85A7A"/>
    <w:rsid w:val="00D90D27"/>
    <w:rsid w:val="00D97237"/>
    <w:rsid w:val="00DB10CE"/>
    <w:rsid w:val="00DC49D1"/>
    <w:rsid w:val="00DD40D8"/>
    <w:rsid w:val="00DE27D9"/>
    <w:rsid w:val="00DE657D"/>
    <w:rsid w:val="00DE7A81"/>
    <w:rsid w:val="00DF30BF"/>
    <w:rsid w:val="00E13108"/>
    <w:rsid w:val="00E21953"/>
    <w:rsid w:val="00E30506"/>
    <w:rsid w:val="00E322FB"/>
    <w:rsid w:val="00E4226B"/>
    <w:rsid w:val="00E50F1C"/>
    <w:rsid w:val="00E62237"/>
    <w:rsid w:val="00E83B4A"/>
    <w:rsid w:val="00E8412F"/>
    <w:rsid w:val="00E85C58"/>
    <w:rsid w:val="00E91E4B"/>
    <w:rsid w:val="00EA1758"/>
    <w:rsid w:val="00EB6F87"/>
    <w:rsid w:val="00EE3457"/>
    <w:rsid w:val="00EF37FE"/>
    <w:rsid w:val="00EF3CE0"/>
    <w:rsid w:val="00EF5AEE"/>
    <w:rsid w:val="00F06FDB"/>
    <w:rsid w:val="00F14D2C"/>
    <w:rsid w:val="00F22F1F"/>
    <w:rsid w:val="00F24065"/>
    <w:rsid w:val="00F25DDC"/>
    <w:rsid w:val="00F30DF1"/>
    <w:rsid w:val="00F4614C"/>
    <w:rsid w:val="00F601AC"/>
    <w:rsid w:val="00F73ECA"/>
    <w:rsid w:val="00F8291C"/>
    <w:rsid w:val="00F958DC"/>
    <w:rsid w:val="00FA05F3"/>
    <w:rsid w:val="00FA0FAB"/>
    <w:rsid w:val="00FA6320"/>
    <w:rsid w:val="00FB7048"/>
    <w:rsid w:val="00FC12E0"/>
    <w:rsid w:val="00FC5E38"/>
    <w:rsid w:val="00FC7DCE"/>
    <w:rsid w:val="00FD2D57"/>
    <w:rsid w:val="00FE0AFA"/>
    <w:rsid w:val="00FE3E30"/>
    <w:rsid w:val="00FF1B4A"/>
    <w:rsid w:val="00FF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A8B632-CEC0-4D2F-9E04-A956D2A9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0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04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2</cp:revision>
  <dcterms:created xsi:type="dcterms:W3CDTF">2024-07-26T00:40:00Z</dcterms:created>
  <dcterms:modified xsi:type="dcterms:W3CDTF">2024-07-26T00:41:00Z</dcterms:modified>
</cp:coreProperties>
</file>