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AD87C5" w14:textId="77777777" w:rsidR="00A10F9B" w:rsidRDefault="00A10F9B" w:rsidP="00A10F9B">
      <w:pPr>
        <w:spacing w:line="480" w:lineRule="auto"/>
        <w:jc w:val="center"/>
        <w:rPr>
          <w:b/>
          <w:sz w:val="24"/>
          <w:szCs w:val="24"/>
        </w:rPr>
      </w:pPr>
      <w:r w:rsidRPr="00334140">
        <w:rPr>
          <w:b/>
          <w:sz w:val="24"/>
          <w:szCs w:val="24"/>
        </w:rPr>
        <w:t>Electronic supplemental material</w:t>
      </w:r>
    </w:p>
    <w:p w14:paraId="4EAF9DA2" w14:textId="77777777" w:rsidR="00C4744E" w:rsidRPr="00334140" w:rsidRDefault="00C4744E" w:rsidP="00A10F9B">
      <w:pPr>
        <w:spacing w:line="480" w:lineRule="auto"/>
        <w:jc w:val="center"/>
        <w:rPr>
          <w:b/>
          <w:sz w:val="24"/>
          <w:szCs w:val="24"/>
        </w:rPr>
      </w:pPr>
    </w:p>
    <w:p w14:paraId="443E65C3" w14:textId="1FEA257C" w:rsidR="00A10F9B" w:rsidRPr="0066736E" w:rsidRDefault="00FC7503" w:rsidP="0066736E">
      <w:pPr>
        <w:spacing w:line="480" w:lineRule="auto"/>
        <w:jc w:val="center"/>
        <w:rPr>
          <w:b/>
          <w:bCs/>
          <w:sz w:val="24"/>
          <w:szCs w:val="24"/>
        </w:rPr>
      </w:pPr>
      <w:r w:rsidRPr="00FC7503">
        <w:rPr>
          <w:b/>
          <w:bCs/>
          <w:sz w:val="24"/>
          <w:szCs w:val="24"/>
        </w:rPr>
        <w:t xml:space="preserve">Circulating glycocalyx shedding products as biomarkers for evaluating prognosis of </w:t>
      </w:r>
      <w:r w:rsidRPr="00FC7503">
        <w:rPr>
          <w:rFonts w:hint="eastAsia"/>
          <w:b/>
          <w:bCs/>
          <w:sz w:val="24"/>
          <w:szCs w:val="24"/>
        </w:rPr>
        <w:t>p</w:t>
      </w:r>
      <w:r w:rsidRPr="00FC7503">
        <w:rPr>
          <w:b/>
          <w:bCs/>
          <w:sz w:val="24"/>
          <w:szCs w:val="24"/>
        </w:rPr>
        <w:t>atients with</w:t>
      </w:r>
      <w:r w:rsidRPr="00FC7503">
        <w:rPr>
          <w:rFonts w:hint="eastAsia"/>
          <w:b/>
          <w:bCs/>
          <w:sz w:val="24"/>
          <w:szCs w:val="24"/>
        </w:rPr>
        <w:t xml:space="preserve"> o</w:t>
      </w:r>
      <w:r w:rsidRPr="00FC7503">
        <w:rPr>
          <w:b/>
          <w:bCs/>
          <w:sz w:val="24"/>
          <w:szCs w:val="24"/>
        </w:rPr>
        <w:t>ut-of-</w:t>
      </w:r>
      <w:r w:rsidRPr="00FC7503">
        <w:rPr>
          <w:rFonts w:hint="eastAsia"/>
          <w:b/>
          <w:bCs/>
          <w:sz w:val="24"/>
          <w:szCs w:val="24"/>
        </w:rPr>
        <w:t>h</w:t>
      </w:r>
      <w:r w:rsidRPr="00FC7503">
        <w:rPr>
          <w:b/>
          <w:bCs/>
          <w:sz w:val="24"/>
          <w:szCs w:val="24"/>
        </w:rPr>
        <w:t xml:space="preserve">ospital </w:t>
      </w:r>
      <w:r w:rsidRPr="00FC7503">
        <w:rPr>
          <w:rFonts w:hint="eastAsia"/>
          <w:b/>
          <w:bCs/>
          <w:sz w:val="24"/>
          <w:szCs w:val="24"/>
        </w:rPr>
        <w:t>c</w:t>
      </w:r>
      <w:r w:rsidRPr="00FC7503">
        <w:rPr>
          <w:b/>
          <w:bCs/>
          <w:sz w:val="24"/>
          <w:szCs w:val="24"/>
        </w:rPr>
        <w:t xml:space="preserve">ardiac </w:t>
      </w:r>
      <w:r w:rsidRPr="00FC7503">
        <w:rPr>
          <w:rFonts w:hint="eastAsia"/>
          <w:b/>
          <w:bCs/>
          <w:sz w:val="24"/>
          <w:szCs w:val="24"/>
        </w:rPr>
        <w:t>a</w:t>
      </w:r>
      <w:r w:rsidRPr="00FC7503">
        <w:rPr>
          <w:b/>
          <w:bCs/>
          <w:sz w:val="24"/>
          <w:szCs w:val="24"/>
        </w:rPr>
        <w:t xml:space="preserve">rrest after </w:t>
      </w:r>
      <w:r w:rsidRPr="00FC7503">
        <w:rPr>
          <w:rFonts w:hint="eastAsia"/>
          <w:b/>
          <w:bCs/>
          <w:sz w:val="24"/>
          <w:szCs w:val="24"/>
        </w:rPr>
        <w:t>r</w:t>
      </w:r>
      <w:r w:rsidRPr="00FC7503">
        <w:rPr>
          <w:b/>
          <w:bCs/>
          <w:sz w:val="24"/>
          <w:szCs w:val="24"/>
        </w:rPr>
        <w:t xml:space="preserve">eturn of </w:t>
      </w:r>
      <w:r w:rsidRPr="00FC7503">
        <w:rPr>
          <w:rFonts w:hint="eastAsia"/>
          <w:b/>
          <w:bCs/>
          <w:sz w:val="24"/>
          <w:szCs w:val="24"/>
        </w:rPr>
        <w:t>s</w:t>
      </w:r>
      <w:r w:rsidRPr="00FC7503">
        <w:rPr>
          <w:b/>
          <w:bCs/>
          <w:sz w:val="24"/>
          <w:szCs w:val="24"/>
        </w:rPr>
        <w:t xml:space="preserve">pontaneous </w:t>
      </w:r>
      <w:r w:rsidRPr="00FC7503">
        <w:rPr>
          <w:rFonts w:hint="eastAsia"/>
          <w:b/>
          <w:bCs/>
          <w:sz w:val="24"/>
          <w:szCs w:val="24"/>
        </w:rPr>
        <w:t>c</w:t>
      </w:r>
      <w:r w:rsidRPr="00FC7503">
        <w:rPr>
          <w:b/>
          <w:bCs/>
          <w:sz w:val="24"/>
          <w:szCs w:val="24"/>
        </w:rPr>
        <w:t>irculation</w:t>
      </w:r>
    </w:p>
    <w:p w14:paraId="14CF4AC2" w14:textId="18B004EB" w:rsidR="00455DCD" w:rsidRDefault="00455DCD" w:rsidP="00455DCD">
      <w:pPr>
        <w:jc w:val="center"/>
        <w:rPr>
          <w:vertAlign w:val="superscript"/>
        </w:rPr>
      </w:pPr>
      <w:r w:rsidRPr="00CC44C4">
        <w:rPr>
          <w:rFonts w:hint="eastAsia"/>
        </w:rPr>
        <w:t>Jun Li</w:t>
      </w:r>
      <w:r>
        <w:rPr>
          <w:rFonts w:hint="eastAsia"/>
          <w:vertAlign w:val="superscript"/>
        </w:rPr>
        <w:t>1</w:t>
      </w:r>
      <w:r w:rsidRPr="00CC44C4">
        <w:rPr>
          <w:rFonts w:hint="eastAsia"/>
        </w:rPr>
        <w:t xml:space="preserve">, </w:t>
      </w:r>
      <w:r>
        <w:t>Zhi</w:t>
      </w:r>
      <w:r>
        <w:rPr>
          <w:rFonts w:hint="eastAsia"/>
        </w:rPr>
        <w:t>j</w:t>
      </w:r>
      <w:r>
        <w:t>iang Qi</w:t>
      </w:r>
      <w:r>
        <w:rPr>
          <w:rFonts w:hint="eastAsia"/>
          <w:vertAlign w:val="superscript"/>
        </w:rPr>
        <w:t>2</w:t>
      </w:r>
      <w:r w:rsidRPr="00CC44C4">
        <w:t>,</w:t>
      </w:r>
      <w:r w:rsidRPr="00CC44C4">
        <w:rPr>
          <w:rFonts w:hint="eastAsia"/>
        </w:rPr>
        <w:t xml:space="preserve"> </w:t>
      </w:r>
      <w:r w:rsidR="003632D8">
        <w:t>Changan</w:t>
      </w:r>
      <w:r w:rsidR="003632D8" w:rsidRPr="00CC44C4">
        <w:rPr>
          <w:rFonts w:hint="eastAsia"/>
        </w:rPr>
        <w:t xml:space="preserve"> </w:t>
      </w:r>
      <w:r w:rsidR="003632D8">
        <w:t>Sun</w:t>
      </w:r>
      <w:r w:rsidR="009D3567">
        <w:rPr>
          <w:rFonts w:hint="eastAsia"/>
          <w:vertAlign w:val="superscript"/>
        </w:rPr>
        <w:t>3</w:t>
      </w:r>
      <w:r w:rsidR="003632D8" w:rsidRPr="00CC44C4">
        <w:rPr>
          <w:rFonts w:hint="eastAsia"/>
        </w:rPr>
        <w:t>,</w:t>
      </w:r>
      <w:r w:rsidR="003632D8">
        <w:t xml:space="preserve"> </w:t>
      </w:r>
      <w:r>
        <w:t>Yi Zhang</w:t>
      </w:r>
      <w:r w:rsidR="009D3567">
        <w:rPr>
          <w:rFonts w:hint="eastAsia"/>
          <w:vertAlign w:val="superscript"/>
        </w:rPr>
        <w:t>4</w:t>
      </w:r>
      <w:r>
        <w:t>,</w:t>
      </w:r>
      <w:r w:rsidR="003B229C" w:rsidRPr="003B229C">
        <w:t xml:space="preserve"> </w:t>
      </w:r>
      <w:r w:rsidR="003B229C" w:rsidRPr="00CC44C4">
        <w:t>Lei Gong</w:t>
      </w:r>
      <w:r w:rsidR="003B229C">
        <w:rPr>
          <w:rFonts w:hint="eastAsia"/>
          <w:vertAlign w:val="superscript"/>
        </w:rPr>
        <w:t>1</w:t>
      </w:r>
      <w:r w:rsidR="003B229C" w:rsidRPr="00CC44C4">
        <w:t>,</w:t>
      </w:r>
      <w:r w:rsidRPr="008B4D40">
        <w:t xml:space="preserve"> </w:t>
      </w:r>
      <w:r>
        <w:t>Yang Li</w:t>
      </w:r>
      <w:r>
        <w:rPr>
          <w:rFonts w:hint="eastAsia"/>
          <w:vertAlign w:val="superscript"/>
        </w:rPr>
        <w:t>5</w:t>
      </w:r>
      <w:r w:rsidRPr="00CC44C4">
        <w:t>,</w:t>
      </w:r>
      <w:r w:rsidRPr="008B1CEF">
        <w:t xml:space="preserve"> </w:t>
      </w:r>
      <w:r>
        <w:t>Haibin Dong</w:t>
      </w:r>
      <w:r>
        <w:rPr>
          <w:rFonts w:hint="eastAsia"/>
          <w:vertAlign w:val="superscript"/>
        </w:rPr>
        <w:t>1</w:t>
      </w:r>
      <w:r w:rsidRPr="00CC44C4">
        <w:rPr>
          <w:rFonts w:hint="eastAsia"/>
        </w:rPr>
        <w:t xml:space="preserve">, </w:t>
      </w:r>
      <w:r w:rsidRPr="00CC44C4">
        <w:t>Wenjuan</w:t>
      </w:r>
      <w:r w:rsidRPr="00CC44C4">
        <w:rPr>
          <w:rFonts w:hint="eastAsia"/>
        </w:rPr>
        <w:t xml:space="preserve"> </w:t>
      </w:r>
      <w:r w:rsidRPr="00CC44C4">
        <w:t>Jia</w:t>
      </w:r>
      <w:r>
        <w:rPr>
          <w:rFonts w:hint="eastAsia"/>
          <w:vertAlign w:val="superscript"/>
        </w:rPr>
        <w:t>1</w:t>
      </w:r>
      <w:r w:rsidRPr="00CC44C4">
        <w:rPr>
          <w:rFonts w:hint="eastAsia"/>
        </w:rPr>
        <w:t>,</w:t>
      </w:r>
      <w:r w:rsidRPr="00E75DC0">
        <w:t xml:space="preserve"> </w:t>
      </w:r>
      <w:r w:rsidRPr="00CC44C4">
        <w:t>Lin Zhong</w:t>
      </w:r>
      <w:r>
        <w:rPr>
          <w:rFonts w:hint="eastAsia"/>
          <w:vertAlign w:val="superscript"/>
        </w:rPr>
        <w:t>1</w:t>
      </w:r>
      <w:r w:rsidRPr="00CC44C4">
        <w:rPr>
          <w:rFonts w:hint="eastAsia"/>
          <w:vertAlign w:val="superscript"/>
        </w:rPr>
        <w:t>*</w:t>
      </w:r>
      <w:r w:rsidRPr="00CC44C4">
        <w:rPr>
          <w:rFonts w:hint="eastAsia"/>
        </w:rPr>
        <w:t xml:space="preserve">, </w:t>
      </w:r>
      <w:r w:rsidRPr="00CC44C4">
        <w:t>Jun Yang</w:t>
      </w:r>
      <w:r>
        <w:rPr>
          <w:rFonts w:hint="eastAsia"/>
          <w:vertAlign w:val="superscript"/>
        </w:rPr>
        <w:t>1</w:t>
      </w:r>
      <w:r w:rsidRPr="00CC44C4">
        <w:rPr>
          <w:vertAlign w:val="superscript"/>
        </w:rPr>
        <w:t>*</w:t>
      </w:r>
    </w:p>
    <w:p w14:paraId="35EF3B4F" w14:textId="77777777" w:rsidR="00DC5B4C" w:rsidRDefault="00DC5B4C" w:rsidP="0091497E">
      <w:pPr>
        <w:spacing w:line="480" w:lineRule="auto"/>
        <w:rPr>
          <w:b/>
          <w:sz w:val="24"/>
          <w:szCs w:val="24"/>
        </w:rPr>
      </w:pPr>
    </w:p>
    <w:p w14:paraId="31851765" w14:textId="77777777" w:rsidR="00E254D0" w:rsidRPr="00CC44C4" w:rsidRDefault="00E254D0" w:rsidP="00E254D0">
      <w:pPr>
        <w:spacing w:line="480" w:lineRule="auto"/>
      </w:pPr>
      <w:r>
        <w:rPr>
          <w:rFonts w:hint="eastAsia"/>
          <w:vertAlign w:val="superscript"/>
        </w:rPr>
        <w:t>1</w:t>
      </w:r>
      <w:r w:rsidRPr="00CC44C4">
        <w:t>Department of cardiology, Yantai Yuhuangding Hospital</w:t>
      </w:r>
      <w:r w:rsidRPr="00CC44C4">
        <w:rPr>
          <w:rFonts w:hint="eastAsia"/>
        </w:rPr>
        <w:t>,</w:t>
      </w:r>
      <w:r w:rsidRPr="00CC44C4">
        <w:t xml:space="preserve"> Qingdao University, Yantai, Shandong Province,</w:t>
      </w:r>
      <w:r w:rsidRPr="004B5C71">
        <w:t xml:space="preserve"> </w:t>
      </w:r>
      <w:r w:rsidRPr="00CC44C4">
        <w:t>China</w:t>
      </w:r>
    </w:p>
    <w:p w14:paraId="59DF416D" w14:textId="63386F68" w:rsidR="00E254D0" w:rsidRPr="00847D8D" w:rsidRDefault="00E254D0" w:rsidP="00E254D0">
      <w:pPr>
        <w:spacing w:line="480" w:lineRule="auto"/>
        <w:rPr>
          <w:rFonts w:eastAsia="E-BZ+ZCXDYe-1" w:hint="eastAsia"/>
          <w:color w:val="000000" w:themeColor="text1"/>
        </w:rPr>
      </w:pPr>
      <w:r>
        <w:rPr>
          <w:rFonts w:hint="eastAsia"/>
          <w:vertAlign w:val="superscript"/>
        </w:rPr>
        <w:t>2</w:t>
      </w:r>
      <w:r w:rsidRPr="0007481B">
        <w:t xml:space="preserve">Department of Pulmonary and Critical Care Medicine, </w:t>
      </w:r>
      <w:r w:rsidR="00847D8D">
        <w:t xml:space="preserve">Yantai Affiliated Hospital of Binzhou Medical University, Binzhou Medical University, </w:t>
      </w:r>
      <w:r w:rsidR="00847D8D" w:rsidRPr="00CC44C4">
        <w:rPr>
          <w:rFonts w:eastAsia="E-BZ+ZCXDYe-1"/>
          <w:color w:val="000000" w:themeColor="text1"/>
        </w:rPr>
        <w:t xml:space="preserve">Yantai, </w:t>
      </w:r>
      <w:r w:rsidR="00847D8D">
        <w:t xml:space="preserve">Shandong </w:t>
      </w:r>
      <w:r w:rsidR="00847D8D" w:rsidRPr="00CC44C4">
        <w:rPr>
          <w:rFonts w:eastAsia="E-BZ+ZCXDYe-1"/>
          <w:color w:val="000000" w:themeColor="text1"/>
        </w:rPr>
        <w:t>Province</w:t>
      </w:r>
      <w:r w:rsidR="00847D8D">
        <w:t>,</w:t>
      </w:r>
      <w:r w:rsidR="00847D8D" w:rsidRPr="004B5C71">
        <w:rPr>
          <w:rFonts w:eastAsia="E-BZ+ZCXDYe-1"/>
          <w:color w:val="000000" w:themeColor="text1"/>
        </w:rPr>
        <w:t xml:space="preserve"> </w:t>
      </w:r>
      <w:r w:rsidR="00847D8D">
        <w:t>China</w:t>
      </w:r>
    </w:p>
    <w:p w14:paraId="5AB96740" w14:textId="407423AB" w:rsidR="009D3567" w:rsidRDefault="009D3567" w:rsidP="009D3567">
      <w:pPr>
        <w:spacing w:line="480" w:lineRule="auto"/>
        <w:rPr>
          <w:rFonts w:eastAsia="E-BZ+ZCXDYe-1"/>
          <w:color w:val="000000" w:themeColor="text1"/>
        </w:rPr>
      </w:pPr>
      <w:r>
        <w:rPr>
          <w:rFonts w:hint="eastAsia"/>
          <w:vertAlign w:val="superscript"/>
        </w:rPr>
        <w:t>3</w:t>
      </w:r>
      <w:r>
        <w:t xml:space="preserve">Intensive Care Unit, Yantai Affiliated Hospital of Binzhou Medical University, Binzhou Medical University, </w:t>
      </w:r>
      <w:r w:rsidRPr="00CC44C4">
        <w:rPr>
          <w:rFonts w:eastAsia="E-BZ+ZCXDYe-1"/>
          <w:color w:val="000000" w:themeColor="text1"/>
        </w:rPr>
        <w:t xml:space="preserve">Yantai, </w:t>
      </w:r>
      <w:r>
        <w:t xml:space="preserve">Shandong </w:t>
      </w:r>
      <w:r w:rsidRPr="00CC44C4">
        <w:rPr>
          <w:rFonts w:eastAsia="E-BZ+ZCXDYe-1"/>
          <w:color w:val="000000" w:themeColor="text1"/>
        </w:rPr>
        <w:t>Province</w:t>
      </w:r>
      <w:r>
        <w:t>,</w:t>
      </w:r>
      <w:r w:rsidRPr="004B5C71">
        <w:rPr>
          <w:rFonts w:eastAsia="E-BZ+ZCXDYe-1"/>
          <w:color w:val="000000" w:themeColor="text1"/>
        </w:rPr>
        <w:t xml:space="preserve"> </w:t>
      </w:r>
      <w:r>
        <w:t>China</w:t>
      </w:r>
      <w:r w:rsidRPr="00CC44C4">
        <w:rPr>
          <w:rFonts w:eastAsia="E-BZ+ZCXDYe-1"/>
          <w:color w:val="000000" w:themeColor="text1"/>
        </w:rPr>
        <w:tab/>
      </w:r>
    </w:p>
    <w:p w14:paraId="64DDD43A" w14:textId="24F9F59A" w:rsidR="00E254D0" w:rsidRPr="00771C6A" w:rsidRDefault="009D3567" w:rsidP="00E254D0">
      <w:pPr>
        <w:spacing w:line="480" w:lineRule="auto"/>
        <w:rPr>
          <w:rFonts w:eastAsia="E-BZ+ZCXDYe-1"/>
          <w:color w:val="000000" w:themeColor="text1"/>
        </w:rPr>
      </w:pPr>
      <w:r>
        <w:rPr>
          <w:rFonts w:hint="eastAsia"/>
          <w:vertAlign w:val="superscript"/>
        </w:rPr>
        <w:t>4</w:t>
      </w:r>
      <w:r w:rsidR="00E254D0" w:rsidRPr="00771C6A">
        <w:rPr>
          <w:rFonts w:eastAsia="E-BZ+ZCXDYe-1" w:hint="eastAsia"/>
          <w:color w:val="000000" w:themeColor="text1"/>
        </w:rPr>
        <w:t>Department of Respiratory and Critical Care Medicine, Guangyuan Central Hospital, Guangyuan,</w:t>
      </w:r>
      <w:r w:rsidR="00E254D0" w:rsidRPr="00771C6A">
        <w:t xml:space="preserve"> </w:t>
      </w:r>
      <w:r w:rsidR="00E254D0" w:rsidRPr="00771C6A">
        <w:rPr>
          <w:rFonts w:eastAsia="E-BZ+ZCXDYe-1"/>
          <w:color w:val="000000" w:themeColor="text1"/>
        </w:rPr>
        <w:t>Sichuan Province</w:t>
      </w:r>
      <w:r w:rsidR="00E254D0" w:rsidRPr="00771C6A">
        <w:rPr>
          <w:rFonts w:eastAsia="E-BZ+ZCXDYe-1" w:hint="eastAsia"/>
          <w:color w:val="000000" w:themeColor="text1"/>
        </w:rPr>
        <w:t>, China</w:t>
      </w:r>
    </w:p>
    <w:p w14:paraId="658B7143" w14:textId="4C13C571" w:rsidR="00E254D0" w:rsidRDefault="00E254D0" w:rsidP="00E254D0">
      <w:pPr>
        <w:spacing w:line="480" w:lineRule="auto"/>
      </w:pPr>
      <w:r>
        <w:rPr>
          <w:rFonts w:hint="eastAsia"/>
          <w:vertAlign w:val="superscript"/>
        </w:rPr>
        <w:t>5</w:t>
      </w:r>
      <w:r>
        <w:t xml:space="preserve">Department of Emergency Medicine, Yantai Affiliated Hospital of Binzhou Medical University, Binzhou Medical University, </w:t>
      </w:r>
      <w:r w:rsidRPr="00CC44C4">
        <w:rPr>
          <w:rFonts w:eastAsia="E-BZ+ZCXDYe-1"/>
          <w:color w:val="000000" w:themeColor="text1"/>
        </w:rPr>
        <w:t xml:space="preserve">Yantai, </w:t>
      </w:r>
      <w:r>
        <w:t xml:space="preserve">Shandong </w:t>
      </w:r>
      <w:r w:rsidRPr="00CC44C4">
        <w:rPr>
          <w:rFonts w:eastAsia="E-BZ+ZCXDYe-1"/>
          <w:color w:val="000000" w:themeColor="text1"/>
        </w:rPr>
        <w:t>Province</w:t>
      </w:r>
      <w:r>
        <w:t>,</w:t>
      </w:r>
      <w:r w:rsidRPr="004B5C71">
        <w:rPr>
          <w:rFonts w:eastAsia="E-BZ+ZCXDYe-1"/>
          <w:color w:val="000000" w:themeColor="text1"/>
        </w:rPr>
        <w:t xml:space="preserve"> </w:t>
      </w:r>
      <w:r>
        <w:t>China</w:t>
      </w:r>
    </w:p>
    <w:p w14:paraId="03E4B898" w14:textId="77777777" w:rsidR="00E254D0" w:rsidRPr="00455DCD" w:rsidRDefault="00E254D0" w:rsidP="00E254D0">
      <w:pPr>
        <w:spacing w:line="480" w:lineRule="auto"/>
        <w:rPr>
          <w:b/>
          <w:sz w:val="24"/>
          <w:szCs w:val="24"/>
        </w:rPr>
      </w:pPr>
    </w:p>
    <w:p w14:paraId="35C32310" w14:textId="77777777" w:rsidR="0091497E" w:rsidRDefault="0091497E" w:rsidP="0091497E">
      <w:pPr>
        <w:spacing w:line="480" w:lineRule="auto"/>
        <w:rPr>
          <w:b/>
          <w:sz w:val="24"/>
          <w:szCs w:val="24"/>
        </w:rPr>
      </w:pPr>
      <w:r w:rsidRPr="00A4716A">
        <w:rPr>
          <w:b/>
          <w:sz w:val="24"/>
          <w:szCs w:val="24"/>
        </w:rPr>
        <w:t>Contents</w:t>
      </w:r>
    </w:p>
    <w:p w14:paraId="1A24DCBB" w14:textId="77777777" w:rsidR="00DC5B4C" w:rsidRPr="00DF49FB" w:rsidRDefault="00DC5B4C" w:rsidP="00DC5B4C">
      <w:pPr>
        <w:spacing w:line="480" w:lineRule="auto"/>
        <w:rPr>
          <w:sz w:val="24"/>
          <w:szCs w:val="24"/>
        </w:rPr>
      </w:pPr>
      <w:r w:rsidRPr="00DF49FB">
        <w:rPr>
          <w:sz w:val="24"/>
          <w:szCs w:val="24"/>
        </w:rPr>
        <w:t xml:space="preserve">Supplemental </w:t>
      </w:r>
      <w:r w:rsidRPr="00DF49FB">
        <w:rPr>
          <w:rFonts w:hint="eastAsia"/>
          <w:sz w:val="24"/>
          <w:szCs w:val="24"/>
        </w:rPr>
        <w:t>Table 1</w:t>
      </w:r>
    </w:p>
    <w:p w14:paraId="1334A317" w14:textId="77777777" w:rsidR="00570770" w:rsidRDefault="00570770" w:rsidP="00570770">
      <w:pPr>
        <w:spacing w:line="480" w:lineRule="auto"/>
        <w:rPr>
          <w:sz w:val="24"/>
          <w:szCs w:val="24"/>
        </w:rPr>
      </w:pPr>
      <w:r w:rsidRPr="00DF49FB">
        <w:rPr>
          <w:sz w:val="24"/>
          <w:szCs w:val="24"/>
        </w:rPr>
        <w:t xml:space="preserve">Supplemental </w:t>
      </w:r>
      <w:r>
        <w:rPr>
          <w:sz w:val="24"/>
          <w:szCs w:val="24"/>
        </w:rPr>
        <w:t>Figure 1</w:t>
      </w:r>
      <w:r w:rsidRPr="00DF49FB">
        <w:rPr>
          <w:sz w:val="24"/>
          <w:szCs w:val="24"/>
        </w:rPr>
        <w:t xml:space="preserve"> </w:t>
      </w:r>
    </w:p>
    <w:p w14:paraId="656162D3" w14:textId="77777777" w:rsidR="00570770" w:rsidRDefault="00570770" w:rsidP="00570770">
      <w:pPr>
        <w:spacing w:line="480" w:lineRule="auto"/>
        <w:rPr>
          <w:sz w:val="24"/>
          <w:szCs w:val="24"/>
        </w:rPr>
      </w:pPr>
      <w:r w:rsidRPr="00DF49FB">
        <w:rPr>
          <w:sz w:val="24"/>
          <w:szCs w:val="24"/>
        </w:rPr>
        <w:t xml:space="preserve">Supplemental </w:t>
      </w:r>
      <w:r>
        <w:rPr>
          <w:sz w:val="24"/>
          <w:szCs w:val="24"/>
        </w:rPr>
        <w:t>Figure 2</w:t>
      </w:r>
    </w:p>
    <w:p w14:paraId="64191EB4" w14:textId="77777777" w:rsidR="00DC5B4C" w:rsidRPr="00570770" w:rsidRDefault="00DC5B4C" w:rsidP="0091497E">
      <w:pPr>
        <w:spacing w:line="480" w:lineRule="auto"/>
        <w:rPr>
          <w:sz w:val="24"/>
          <w:szCs w:val="24"/>
        </w:rPr>
      </w:pPr>
    </w:p>
    <w:p w14:paraId="293DA7C3" w14:textId="77777777" w:rsidR="00CF7C45" w:rsidRDefault="00CF7C45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64951391" w14:textId="77777777" w:rsidR="00C4744E" w:rsidRDefault="00C4744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p w14:paraId="3D59B3CA" w14:textId="77777777" w:rsidR="00FC7D62" w:rsidRDefault="00FC7D62" w:rsidP="00FC7D62">
      <w:pPr>
        <w:spacing w:line="360" w:lineRule="auto"/>
        <w:ind w:rightChars="-10" w:right="-21"/>
        <w:rPr>
          <w:bCs/>
          <w:sz w:val="24"/>
          <w:szCs w:val="24"/>
          <w:lang w:val="en-GB"/>
        </w:rPr>
      </w:pPr>
      <w:r w:rsidRPr="00467A5B">
        <w:rPr>
          <w:b/>
          <w:sz w:val="24"/>
          <w:szCs w:val="24"/>
          <w:lang w:val="en-GB"/>
        </w:rPr>
        <w:lastRenderedPageBreak/>
        <w:t xml:space="preserve">Supplemental </w:t>
      </w:r>
      <w:r>
        <w:rPr>
          <w:b/>
          <w:sz w:val="24"/>
          <w:szCs w:val="24"/>
          <w:lang w:val="en-GB"/>
        </w:rPr>
        <w:t xml:space="preserve">Table </w:t>
      </w:r>
      <w:r w:rsidR="00307F6A">
        <w:rPr>
          <w:rFonts w:hint="eastAsia"/>
          <w:b/>
          <w:sz w:val="24"/>
          <w:szCs w:val="24"/>
          <w:lang w:val="en-GB"/>
        </w:rPr>
        <w:t>1</w:t>
      </w:r>
      <w:r>
        <w:rPr>
          <w:b/>
          <w:sz w:val="24"/>
          <w:szCs w:val="24"/>
          <w:lang w:val="en-GB"/>
        </w:rPr>
        <w:t>.</w:t>
      </w:r>
      <w:bookmarkStart w:id="0" w:name="_Hlk141627512"/>
      <w:r>
        <w:rPr>
          <w:b/>
          <w:sz w:val="24"/>
          <w:szCs w:val="24"/>
          <w:lang w:val="en-GB"/>
        </w:rPr>
        <w:t xml:space="preserve"> </w:t>
      </w:r>
      <w:r>
        <w:rPr>
          <w:bCs/>
          <w:sz w:val="24"/>
          <w:szCs w:val="24"/>
          <w:lang w:val="en-GB"/>
        </w:rPr>
        <w:t xml:space="preserve">The value of </w:t>
      </w:r>
      <w:r>
        <w:rPr>
          <w:rFonts w:hint="eastAsia"/>
          <w:bCs/>
          <w:sz w:val="24"/>
          <w:szCs w:val="24"/>
        </w:rPr>
        <w:t>serum SDC-1 and HA levels</w:t>
      </w:r>
      <w:r>
        <w:rPr>
          <w:bCs/>
          <w:sz w:val="24"/>
          <w:szCs w:val="24"/>
          <w:lang w:val="en-GB"/>
        </w:rPr>
        <w:t xml:space="preserve"> in discriminating </w:t>
      </w:r>
      <w:r>
        <w:rPr>
          <w:rFonts w:hint="eastAsia"/>
          <w:bCs/>
          <w:sz w:val="24"/>
          <w:szCs w:val="24"/>
        </w:rPr>
        <w:t>28</w:t>
      </w:r>
      <w:r>
        <w:rPr>
          <w:bCs/>
          <w:sz w:val="24"/>
          <w:szCs w:val="24"/>
        </w:rPr>
        <w:t>-day prognosis</w:t>
      </w:r>
    </w:p>
    <w:tbl>
      <w:tblPr>
        <w:tblW w:w="10230" w:type="dxa"/>
        <w:tblInd w:w="-59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1470"/>
        <w:gridCol w:w="770"/>
        <w:gridCol w:w="710"/>
        <w:gridCol w:w="920"/>
        <w:gridCol w:w="1213"/>
        <w:gridCol w:w="1230"/>
        <w:gridCol w:w="780"/>
        <w:gridCol w:w="787"/>
        <w:gridCol w:w="1080"/>
        <w:gridCol w:w="640"/>
        <w:gridCol w:w="630"/>
      </w:tblGrid>
      <w:tr w:rsidR="00FC7D62" w14:paraId="6B60CB75" w14:textId="77777777" w:rsidTr="00DA1A61"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31EF4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D756EC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AUC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2E853B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BA1F0C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Cut-off</w:t>
            </w:r>
          </w:p>
          <w:p w14:paraId="5645D784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ng/ml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69B9B8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Sensitivity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6AEB9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Specificity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9B1BF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PPV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D4AB42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NPV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AB64D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Accuracy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09212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LR</w:t>
            </w:r>
            <w:r>
              <w:rPr>
                <w:sz w:val="24"/>
                <w:szCs w:val="24"/>
                <w:vertAlign w:val="superscript"/>
                <w:lang w:val="en-GB"/>
              </w:rPr>
              <w:t>+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09E2B" w14:textId="77777777" w:rsidR="00FC7D62" w:rsidRDefault="00FC7D62" w:rsidP="00DA1A61">
            <w:pPr>
              <w:spacing w:line="360" w:lineRule="auto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LR</w:t>
            </w:r>
            <w:r>
              <w:rPr>
                <w:rFonts w:eastAsia="MS Gothic"/>
                <w:sz w:val="24"/>
                <w:szCs w:val="24"/>
                <w:vertAlign w:val="superscript"/>
                <w:lang w:val="en-GB"/>
              </w:rPr>
              <w:t>−</w:t>
            </w:r>
          </w:p>
        </w:tc>
      </w:tr>
      <w:tr w:rsidR="00FC7D62" w14:paraId="51089F0E" w14:textId="77777777" w:rsidTr="00DA1A61"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7B6A40A9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SDC-1 day 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63F88A9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0.708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3E6A7936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0.069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8E0D7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125.0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09651DF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67.3%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51CFD9F0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68.2%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2DE8A4D4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82.5%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14:paraId="51082E49" w14:textId="77777777" w:rsidR="00FC7D62" w:rsidRDefault="00FC7D62" w:rsidP="00DA1A61">
            <w:pPr>
              <w:tabs>
                <w:tab w:val="left" w:pos="541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48.4%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1E4751F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67.6%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746DEE7D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8633582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0.48</w:t>
            </w:r>
          </w:p>
        </w:tc>
      </w:tr>
      <w:tr w:rsidR="00FC7D62" w14:paraId="02E1E261" w14:textId="77777777" w:rsidTr="00DA1A61"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52CACC54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SDC-1 day 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90D901A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0.727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85E0A44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0.069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3ABC9DDB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114.0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7100BB83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64.3%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44269271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72.7%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6CCCAA7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81.8%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14:paraId="498714BA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51.6%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E32F5EA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60.6%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641103BF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2.36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BC9AC3F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0.49</w:t>
            </w:r>
          </w:p>
        </w:tc>
      </w:tr>
      <w:tr w:rsidR="00FC7D62" w14:paraId="459A182A" w14:textId="77777777" w:rsidTr="00DA1A61"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2EB64F86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SDC-1 day 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3158892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0.689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C251F0F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0.081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54A02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107.0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3C94F41C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75.0%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965B7A8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63.2%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0E436793" w14:textId="77777777" w:rsidR="00FC7D62" w:rsidRDefault="00FC7D62" w:rsidP="00DA1A61">
            <w:pPr>
              <w:tabs>
                <w:tab w:val="left" w:pos="523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72.0%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14:paraId="4AE92714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66.7%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D8CF857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69.8%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542005C9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B8AC450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0.40</w:t>
            </w:r>
          </w:p>
        </w:tc>
      </w:tr>
      <w:tr w:rsidR="00FC7D62" w14:paraId="4035BEE9" w14:textId="77777777" w:rsidTr="00DA1A61"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439DDAB3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HA day 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9DBDDE5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0.765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2DC5E01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0.063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F0E99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236.0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BAFF34E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57.1%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7815A437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86.4%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7149CA9D" w14:textId="77777777" w:rsidR="00FC7D62" w:rsidRDefault="00FC7D62" w:rsidP="00DA1A61">
            <w:pPr>
              <w:tabs>
                <w:tab w:val="left" w:pos="523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88.8%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14:paraId="36EED3F5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51.4%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3463FA4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67.2%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9041DB1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DF3E219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0.50</w:t>
            </w:r>
          </w:p>
        </w:tc>
      </w:tr>
      <w:tr w:rsidR="00FC7D62" w14:paraId="1F724CF6" w14:textId="77777777" w:rsidTr="00A7030F"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68E9C4C9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HA day 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B2F528C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0.713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117EA48C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0.078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B40B0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354.0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D6D71C3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45.8%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AB206CE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94.7%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5ABBD2D1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91.7%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</w:tcPr>
          <w:p w14:paraId="72938ECA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58.1%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1D9C6AF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67.4%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14:paraId="3AA7DF3F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8.64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52C4C27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0.57</w:t>
            </w:r>
          </w:p>
        </w:tc>
      </w:tr>
      <w:tr w:rsidR="00FC7D62" w14:paraId="2750E141" w14:textId="77777777" w:rsidTr="00DA1A61"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F3635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HS day 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CF7BFA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0.669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3EEDF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0.070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7FE509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2798.0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26634" w14:textId="77777777" w:rsidR="00FC7D62" w:rsidRDefault="00FC7D62" w:rsidP="00DA1A61">
            <w:pPr>
              <w:autoSpaceDE w:val="0"/>
              <w:autoSpaceDN w:val="0"/>
              <w:adjustRightInd w:val="0"/>
              <w:spacing w:line="360" w:lineRule="auto"/>
              <w:ind w:rightChars="-10" w:right="-21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50.0%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7D43A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86.4%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B567F2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87.5%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19590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47.5%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3AFAC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62.5%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724CA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3.68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B21E9" w14:textId="77777777" w:rsidR="00FC7D62" w:rsidRDefault="00FC7D62" w:rsidP="00DA1A6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0.58</w:t>
            </w:r>
          </w:p>
        </w:tc>
      </w:tr>
    </w:tbl>
    <w:p w14:paraId="64DE4CF5" w14:textId="77777777" w:rsidR="00FC7D62" w:rsidRDefault="00FC7D62" w:rsidP="00FC7D62">
      <w:pPr>
        <w:autoSpaceDE w:val="0"/>
        <w:autoSpaceDN w:val="0"/>
        <w:adjustRightInd w:val="0"/>
        <w:spacing w:line="360" w:lineRule="auto"/>
        <w:ind w:rightChars="56" w:right="118"/>
        <w:rPr>
          <w:rFonts w:eastAsia="黑体"/>
          <w:sz w:val="24"/>
          <w:szCs w:val="24"/>
        </w:rPr>
      </w:pPr>
      <w:r>
        <w:rPr>
          <w:sz w:val="24"/>
          <w:szCs w:val="24"/>
          <w:lang w:val="en-GB"/>
        </w:rPr>
        <w:t>AUC: Area under the receiver operating characteristic curve; LR</w:t>
      </w:r>
      <w:r>
        <w:rPr>
          <w:sz w:val="24"/>
          <w:szCs w:val="24"/>
          <w:vertAlign w:val="superscript"/>
          <w:lang w:val="en-GB"/>
        </w:rPr>
        <w:t>+</w:t>
      </w:r>
      <w:r>
        <w:rPr>
          <w:sz w:val="24"/>
          <w:szCs w:val="24"/>
          <w:lang w:val="en-GB"/>
        </w:rPr>
        <w:t>: Positive likelihood ratio; LR</w:t>
      </w:r>
      <w:r>
        <w:rPr>
          <w:sz w:val="24"/>
          <w:szCs w:val="24"/>
          <w:vertAlign w:val="superscript"/>
          <w:lang w:val="en-GB"/>
        </w:rPr>
        <w:t>-</w:t>
      </w:r>
      <w:r>
        <w:rPr>
          <w:sz w:val="24"/>
          <w:szCs w:val="24"/>
          <w:lang w:val="en-GB"/>
        </w:rPr>
        <w:t>: Negative likelihood ratio; PPV: Positive predictive value; NPV: Negative predictive value; SE: Standard error.</w:t>
      </w:r>
      <w:bookmarkEnd w:id="0"/>
    </w:p>
    <w:p w14:paraId="3F3B44BF" w14:textId="77777777" w:rsidR="00FC7D62" w:rsidRDefault="00FC7D62" w:rsidP="00FC7D62"/>
    <w:p w14:paraId="5FC922E2" w14:textId="77777777" w:rsidR="00FC7D62" w:rsidRPr="00800316" w:rsidRDefault="00FC7D62" w:rsidP="00FC7D62"/>
    <w:p w14:paraId="424C2D97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7F7DCC7F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181B31C1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66507847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38231A5A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35B6D160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418B322E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1410F48B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69822633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41006B16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48190ECC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04597FDB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788A9C91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78A566BA" w14:textId="77777777" w:rsid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7C62D7BE" w14:textId="77777777" w:rsidR="00FC7D62" w:rsidRPr="00FC7D62" w:rsidRDefault="00FC7D62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</w:p>
    <w:p w14:paraId="76FB7CB2" w14:textId="77777777" w:rsidR="00CC68BD" w:rsidRPr="00CC68BD" w:rsidRDefault="00CC68BD" w:rsidP="00CC68BD">
      <w:pPr>
        <w:spacing w:line="480" w:lineRule="auto"/>
        <w:rPr>
          <w:b/>
          <w:sz w:val="24"/>
          <w:szCs w:val="24"/>
        </w:rPr>
      </w:pPr>
      <w:r w:rsidRPr="00CC68BD">
        <w:rPr>
          <w:b/>
          <w:sz w:val="24"/>
          <w:szCs w:val="24"/>
        </w:rPr>
        <w:lastRenderedPageBreak/>
        <w:t xml:space="preserve">Supplemental Figure 1 </w:t>
      </w:r>
    </w:p>
    <w:p w14:paraId="28EBAF6D" w14:textId="77777777" w:rsidR="0091497E" w:rsidRDefault="009F059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25871782" wp14:editId="4A9D9DB5">
            <wp:extent cx="4264256" cy="6213896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40127 Supplement Figure-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751" cy="62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BEB0" w14:textId="77777777" w:rsidR="00215C86" w:rsidRPr="00215C86" w:rsidRDefault="00215C86" w:rsidP="00215C86">
      <w:pPr>
        <w:spacing w:line="360" w:lineRule="auto"/>
        <w:rPr>
          <w:b/>
          <w:bCs/>
          <w:sz w:val="24"/>
          <w:szCs w:val="24"/>
        </w:rPr>
      </w:pPr>
      <w:r w:rsidRPr="00215C86">
        <w:rPr>
          <w:b/>
          <w:bCs/>
          <w:sz w:val="24"/>
          <w:szCs w:val="24"/>
        </w:rPr>
        <w:t>Supplemental Figure 1. Circulating SDC-1, HS and HA for discriminating 28-day survival and favorable neurological outcome in the first three days after ROSC.</w:t>
      </w:r>
    </w:p>
    <w:p w14:paraId="7B615AD3" w14:textId="77777777" w:rsidR="00215C86" w:rsidRPr="00215C86" w:rsidRDefault="00215C86" w:rsidP="00215C86">
      <w:pPr>
        <w:spacing w:line="360" w:lineRule="auto"/>
        <w:rPr>
          <w:sz w:val="24"/>
          <w:szCs w:val="24"/>
        </w:rPr>
      </w:pPr>
      <w:r w:rsidRPr="00215C86">
        <w:rPr>
          <w:sz w:val="24"/>
          <w:szCs w:val="24"/>
        </w:rPr>
        <w:t>A-C: SDC-1, HS and HA concentrations on days 0, 1 and 3 for discriminating 28-day survival. D-F: SDC-1, HS and HA concentrations at days 0, 1 and 3 for discriminating 28-day neurological outcome.</w:t>
      </w:r>
    </w:p>
    <w:p w14:paraId="60E63847" w14:textId="77777777" w:rsidR="00215C86" w:rsidRPr="00215C86" w:rsidRDefault="00215C86" w:rsidP="00215C86">
      <w:pPr>
        <w:spacing w:line="360" w:lineRule="auto"/>
        <w:rPr>
          <w:sz w:val="24"/>
          <w:szCs w:val="24"/>
        </w:rPr>
      </w:pPr>
      <w:r w:rsidRPr="00215C86">
        <w:rPr>
          <w:sz w:val="24"/>
          <w:szCs w:val="24"/>
        </w:rPr>
        <w:t>AUC: area under the curve; CPC: cerebral performance category; HA: hyaluronan; HS: heparan sulfate; ROSC: after return of spontaneous circulation; SDC-1: syndecan-1.</w:t>
      </w:r>
    </w:p>
    <w:p w14:paraId="7B09DDB9" w14:textId="77777777" w:rsidR="0091497E" w:rsidRDefault="00CC68BD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</w:rPr>
      </w:pPr>
      <w:r w:rsidRPr="00CC68BD">
        <w:rPr>
          <w:b/>
          <w:sz w:val="24"/>
          <w:szCs w:val="24"/>
        </w:rPr>
        <w:lastRenderedPageBreak/>
        <w:t xml:space="preserve">Supplemental </w:t>
      </w:r>
      <w:r>
        <w:rPr>
          <w:b/>
          <w:sz w:val="24"/>
          <w:szCs w:val="24"/>
        </w:rPr>
        <w:t>Figure 2</w:t>
      </w:r>
    </w:p>
    <w:p w14:paraId="448BEB8E" w14:textId="77777777" w:rsidR="00CC68BD" w:rsidRDefault="00DB682D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  <w:r>
        <w:rPr>
          <w:b/>
          <w:noProof/>
          <w:sz w:val="24"/>
          <w:szCs w:val="24"/>
        </w:rPr>
        <w:drawing>
          <wp:inline distT="0" distB="0" distL="0" distR="0" wp14:anchorId="1BB80D89" wp14:editId="7EEC0001">
            <wp:extent cx="5982970" cy="49345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40127 Supplement Figure-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97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88F69" w14:textId="77777777" w:rsidR="00215C86" w:rsidRPr="00215C86" w:rsidRDefault="00215C86" w:rsidP="00215C86">
      <w:pPr>
        <w:spacing w:line="360" w:lineRule="auto"/>
        <w:rPr>
          <w:sz w:val="24"/>
          <w:szCs w:val="24"/>
        </w:rPr>
      </w:pPr>
      <w:r w:rsidRPr="00215C86">
        <w:rPr>
          <w:b/>
          <w:bCs/>
          <w:sz w:val="24"/>
          <w:szCs w:val="24"/>
        </w:rPr>
        <w:t>Supplemental Figure 2. The correlation between syndecan-1, heparan sulfate, hyaluronan and no-flow time.</w:t>
      </w:r>
      <w:r w:rsidRPr="00215C86">
        <w:rPr>
          <w:sz w:val="24"/>
          <w:szCs w:val="24"/>
        </w:rPr>
        <w:t xml:space="preserve"> </w:t>
      </w:r>
    </w:p>
    <w:p w14:paraId="7D028D67" w14:textId="77777777" w:rsidR="00215C86" w:rsidRPr="00215C86" w:rsidRDefault="00215C86" w:rsidP="00215C86">
      <w:pPr>
        <w:spacing w:line="360" w:lineRule="auto"/>
        <w:rPr>
          <w:sz w:val="24"/>
          <w:szCs w:val="24"/>
        </w:rPr>
      </w:pPr>
      <w:r w:rsidRPr="00215C86">
        <w:rPr>
          <w:sz w:val="24"/>
          <w:szCs w:val="24"/>
        </w:rPr>
        <w:t xml:space="preserve">A-C: </w:t>
      </w:r>
      <w:r w:rsidRPr="00215C86">
        <w:rPr>
          <w:rFonts w:hint="eastAsia"/>
          <w:sz w:val="24"/>
          <w:szCs w:val="24"/>
        </w:rPr>
        <w:t>s</w:t>
      </w:r>
      <w:r w:rsidRPr="00215C86">
        <w:rPr>
          <w:sz w:val="24"/>
          <w:szCs w:val="24"/>
        </w:rPr>
        <w:t>yndecan-1; D-F: heparan sulfate; G-I: hyaluronan</w:t>
      </w:r>
    </w:p>
    <w:p w14:paraId="65F79596" w14:textId="77777777" w:rsidR="00215C86" w:rsidRPr="00215C86" w:rsidRDefault="00215C86" w:rsidP="00215C86">
      <w:pPr>
        <w:spacing w:line="360" w:lineRule="auto"/>
        <w:rPr>
          <w:sz w:val="24"/>
          <w:szCs w:val="24"/>
        </w:rPr>
      </w:pPr>
      <w:r w:rsidRPr="00215C86">
        <w:rPr>
          <w:sz w:val="24"/>
          <w:szCs w:val="24"/>
        </w:rPr>
        <w:t>CC = correlation coefficient</w:t>
      </w:r>
    </w:p>
    <w:p w14:paraId="66328E5B" w14:textId="77777777" w:rsidR="0091497E" w:rsidRDefault="0091497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p w14:paraId="3C8C245B" w14:textId="77777777" w:rsidR="0091497E" w:rsidRDefault="0091497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p w14:paraId="675B9517" w14:textId="77777777" w:rsidR="0091497E" w:rsidRDefault="0091497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p w14:paraId="3F7391FC" w14:textId="77777777" w:rsidR="0091497E" w:rsidRDefault="0091497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p w14:paraId="4FB44956" w14:textId="77777777" w:rsidR="0091497E" w:rsidRDefault="0091497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p w14:paraId="526E4B72" w14:textId="77777777" w:rsidR="0091497E" w:rsidRDefault="0091497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p w14:paraId="6C514122" w14:textId="77777777" w:rsidR="0091497E" w:rsidRDefault="0091497E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p w14:paraId="043CA4B3" w14:textId="77777777" w:rsidR="00CC68BD" w:rsidRDefault="00CC68BD" w:rsidP="009E1077">
      <w:pPr>
        <w:autoSpaceDE w:val="0"/>
        <w:autoSpaceDN w:val="0"/>
        <w:adjustRightInd w:val="0"/>
        <w:spacing w:line="360" w:lineRule="auto"/>
        <w:jc w:val="left"/>
        <w:rPr>
          <w:b/>
          <w:sz w:val="24"/>
          <w:szCs w:val="24"/>
          <w:lang w:val="en-GB"/>
        </w:rPr>
      </w:pPr>
    </w:p>
    <w:sectPr w:rsidR="00CC68BD">
      <w:pgSz w:w="11906" w:h="16838"/>
      <w:pgMar w:top="1440" w:right="1242" w:bottom="1440" w:left="1242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3E690" w14:textId="77777777" w:rsidR="00BC4494" w:rsidRDefault="00BC4494" w:rsidP="009E1077">
      <w:r>
        <w:separator/>
      </w:r>
    </w:p>
  </w:endnote>
  <w:endnote w:type="continuationSeparator" w:id="0">
    <w:p w14:paraId="1180E420" w14:textId="77777777" w:rsidR="00BC4494" w:rsidRDefault="00BC4494" w:rsidP="009E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-BZ+ZCXDYe-1">
    <w:altName w:val="宋体"/>
    <w:charset w:val="86"/>
    <w:family w:val="auto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828699" w14:textId="77777777" w:rsidR="00BC4494" w:rsidRDefault="00BC4494" w:rsidP="009E1077">
      <w:r>
        <w:separator/>
      </w:r>
    </w:p>
  </w:footnote>
  <w:footnote w:type="continuationSeparator" w:id="0">
    <w:p w14:paraId="67F6D3A3" w14:textId="77777777" w:rsidR="00BC4494" w:rsidRDefault="00BC4494" w:rsidP="009E1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6B8"/>
    <w:rsid w:val="00044F68"/>
    <w:rsid w:val="000A4A6D"/>
    <w:rsid w:val="000D3B3D"/>
    <w:rsid w:val="00133D56"/>
    <w:rsid w:val="00136D69"/>
    <w:rsid w:val="00137A9A"/>
    <w:rsid w:val="001827BE"/>
    <w:rsid w:val="001A51BB"/>
    <w:rsid w:val="001D725A"/>
    <w:rsid w:val="001E133B"/>
    <w:rsid w:val="00215C86"/>
    <w:rsid w:val="00265922"/>
    <w:rsid w:val="00307F6A"/>
    <w:rsid w:val="00317CF1"/>
    <w:rsid w:val="00324E8D"/>
    <w:rsid w:val="00336023"/>
    <w:rsid w:val="003632D8"/>
    <w:rsid w:val="00372B92"/>
    <w:rsid w:val="003B12E5"/>
    <w:rsid w:val="003B229C"/>
    <w:rsid w:val="003E703D"/>
    <w:rsid w:val="004154DA"/>
    <w:rsid w:val="004275C8"/>
    <w:rsid w:val="00455DCD"/>
    <w:rsid w:val="00456468"/>
    <w:rsid w:val="00467A5B"/>
    <w:rsid w:val="004841D7"/>
    <w:rsid w:val="00490499"/>
    <w:rsid w:val="0051573D"/>
    <w:rsid w:val="00541AEB"/>
    <w:rsid w:val="00570770"/>
    <w:rsid w:val="00593B86"/>
    <w:rsid w:val="005B0883"/>
    <w:rsid w:val="005E66C1"/>
    <w:rsid w:val="005E6E1C"/>
    <w:rsid w:val="0066736E"/>
    <w:rsid w:val="0069002A"/>
    <w:rsid w:val="006C5F5B"/>
    <w:rsid w:val="006D3698"/>
    <w:rsid w:val="00751E3A"/>
    <w:rsid w:val="007A5A35"/>
    <w:rsid w:val="007B29A9"/>
    <w:rsid w:val="00800316"/>
    <w:rsid w:val="00847D8D"/>
    <w:rsid w:val="00893EF0"/>
    <w:rsid w:val="008B3F2F"/>
    <w:rsid w:val="0091497E"/>
    <w:rsid w:val="00934722"/>
    <w:rsid w:val="00961301"/>
    <w:rsid w:val="00996E25"/>
    <w:rsid w:val="009B5847"/>
    <w:rsid w:val="009D3567"/>
    <w:rsid w:val="009E1077"/>
    <w:rsid w:val="009F059E"/>
    <w:rsid w:val="00A10F9B"/>
    <w:rsid w:val="00A30088"/>
    <w:rsid w:val="00A364FF"/>
    <w:rsid w:val="00A7030F"/>
    <w:rsid w:val="00AD1737"/>
    <w:rsid w:val="00AE1636"/>
    <w:rsid w:val="00AF0263"/>
    <w:rsid w:val="00B451C6"/>
    <w:rsid w:val="00B66575"/>
    <w:rsid w:val="00BC4494"/>
    <w:rsid w:val="00C26D15"/>
    <w:rsid w:val="00C3064B"/>
    <w:rsid w:val="00C4744E"/>
    <w:rsid w:val="00C82886"/>
    <w:rsid w:val="00C84BB8"/>
    <w:rsid w:val="00CC68BD"/>
    <w:rsid w:val="00CF7C45"/>
    <w:rsid w:val="00D827B6"/>
    <w:rsid w:val="00DB682D"/>
    <w:rsid w:val="00DC5B4C"/>
    <w:rsid w:val="00E02EFD"/>
    <w:rsid w:val="00E254D0"/>
    <w:rsid w:val="00EF2100"/>
    <w:rsid w:val="00F62F34"/>
    <w:rsid w:val="00F666B8"/>
    <w:rsid w:val="00FC7503"/>
    <w:rsid w:val="00FC7D62"/>
    <w:rsid w:val="00FD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AACBC"/>
  <w15:chartTrackingRefBased/>
  <w15:docId w15:val="{ACF4E34B-ADF8-412F-B30D-B73296BF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07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10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10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10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1077"/>
    <w:rPr>
      <w:sz w:val="18"/>
      <w:szCs w:val="18"/>
    </w:rPr>
  </w:style>
  <w:style w:type="paragraph" w:customStyle="1" w:styleId="Default">
    <w:name w:val="Default"/>
    <w:rsid w:val="009E1077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Jun</dc:creator>
  <cp:keywords/>
  <dc:description/>
  <cp:lastModifiedBy>李 Dr</cp:lastModifiedBy>
  <cp:revision>47</cp:revision>
  <dcterms:created xsi:type="dcterms:W3CDTF">2024-01-26T08:17:00Z</dcterms:created>
  <dcterms:modified xsi:type="dcterms:W3CDTF">2024-06-30T12:47:00Z</dcterms:modified>
</cp:coreProperties>
</file>