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Style w:val="style154"/>
        <w:tblW w:w="0" w:type="auto"/>
        <w:tblLook w:val="0420" w:firstRow="1" w:lastRow="0" w:firstColumn="0" w:lastColumn="0" w:noHBand="0" w:noVBand="1"/>
      </w:tblPr>
      <w:tblGrid>
        <w:gridCol w:w="2793"/>
        <w:gridCol w:w="2728"/>
        <w:gridCol w:w="2028"/>
        <w:gridCol w:w="2028"/>
      </w:tblGrid>
      <w:tr>
        <w:trPr>
          <w:trHeight w:val="1905"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bookmarkStart w:id="0" w:name="_Toc156309952"/>
            <w:bookmarkStart w:id="1" w:name="_GoBack" w:colFirst="0" w:colLast="0"/>
            <w:r>
              <w:rPr>
                <w:rFonts w:ascii="Times New Roman" w:cs="Times New Roman" w:eastAsia="Times New Roman" w:hAnsi="Times New Roman"/>
                <w:bCs/>
                <w:sz w:val="24"/>
                <w:szCs w:val="24"/>
              </w:rPr>
              <w:t>“There is a dire need for eye care professionals to be highlighted on the significance of social entrepreneurship so that they do not only focus on commercial entrepreneurship”</w:t>
            </w:r>
            <w:bookmarkEnd w:id="0"/>
          </w:p>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2" w:name="_Toc156309953"/>
            <w:r>
              <w:rPr>
                <w:rFonts w:ascii="Times New Roman" w:cs="Times New Roman" w:eastAsia="Times New Roman" w:hAnsi="Times New Roman"/>
                <w:bCs/>
                <w:sz w:val="24"/>
                <w:szCs w:val="24"/>
              </w:rPr>
              <w:t>Need for eye care professionals to be highlighted on the significance of social entrepreneurship</w:t>
            </w:r>
            <w:bookmarkEnd w:id="2"/>
          </w:p>
          <w:bookmarkStart w:id="3" w:name="_Toc156309954"/>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significance of social entrepreneurship</w:t>
            </w:r>
            <w:bookmarkEnd w:id="3"/>
          </w:p>
          <w:bookmarkStart w:id="4" w:name="_Toc156309955"/>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Motivating eye care professionals to venture into social entrepreneurship</w:t>
            </w:r>
            <w:bookmarkEnd w:id="4"/>
          </w:p>
        </w:tc>
      </w:tr>
      <w:bookmarkStart w:id="5" w:name="_Toc156309956"/>
      <w:tr>
        <w:tblPrEx/>
        <w:trPr>
          <w:trHeight w:val="1905"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“A change will be experienced in the eye care especially refractive error service delivery if eye care professionals can establish and work smoothly with existing social enterprises”</w:t>
            </w:r>
            <w:bookmarkEnd w:id="5"/>
          </w:p>
          <w:bookmarkStart w:id="6" w:name="_Toc156309957"/>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eye care professionals can establish and work smoothly with existing social enterprises</w:t>
            </w:r>
            <w:bookmarkEnd w:id="6"/>
          </w:p>
          <w:bookmarkStart w:id="7" w:name="_Toc156309958"/>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establish and work smoothly</w:t>
            </w:r>
            <w:bookmarkEnd w:id="7"/>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8" w:name="_Toc156309959"/>
      <w:tr>
        <w:tblPrEx/>
        <w:trPr>
          <w:trHeight w:val="1590"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“The influence that community health volunteers have in their areas of jurisdiction makes them well placed to be trained so as to address refractive error burden”</w:t>
            </w:r>
            <w:bookmarkEnd w:id="8"/>
          </w:p>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9" w:name="_Toc156309960"/>
            <w:r>
              <w:rPr>
                <w:rFonts w:ascii="Times New Roman" w:cs="Times New Roman" w:eastAsia="Times New Roman" w:hAnsi="Times New Roman"/>
                <w:bCs/>
                <w:sz w:val="24"/>
                <w:szCs w:val="24"/>
              </w:rPr>
              <w:t>influence that community health volunteers have in their areas of jurisdiction makes them well placed to be trained</w:t>
            </w:r>
            <w:bookmarkEnd w:id="9"/>
          </w:p>
          <w:bookmarkStart w:id="10" w:name="_Toc156309961"/>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Well placed to be trained</w:t>
            </w:r>
            <w:bookmarkEnd w:id="10"/>
          </w:p>
          <w:bookmarkStart w:id="11" w:name="_Toc156309962"/>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Prioritize skills development for community health volunteers</w:t>
            </w:r>
            <w:bookmarkEnd w:id="11"/>
          </w:p>
        </w:tc>
      </w:tr>
      <w:tr>
        <w:tblPrEx/>
        <w:trPr>
          <w:trHeight w:val="1905"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12" w:name="_Toc156309963"/>
            <w:r>
              <w:rPr>
                <w:rFonts w:ascii="Times New Roman" w:cs="Times New Roman" w:eastAsia="Times New Roman" w:hAnsi="Times New Roman"/>
                <w:bCs/>
                <w:sz w:val="24"/>
                <w:szCs w:val="24"/>
              </w:rPr>
              <w:t>“Training everyone may not be a solution to refractive error challenge as sustainability remains key hence community health volunteers training should be prioritized”</w:t>
            </w:r>
            <w:bookmarkEnd w:id="12"/>
          </w:p>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13" w:name="_Toc156309964"/>
            <w:r>
              <w:rPr>
                <w:rFonts w:ascii="Times New Roman" w:cs="Times New Roman" w:eastAsia="Times New Roman" w:hAnsi="Times New Roman"/>
                <w:bCs/>
                <w:sz w:val="24"/>
                <w:szCs w:val="24"/>
              </w:rPr>
              <w:t>Community health volunteers training should be prioritized</w:t>
            </w:r>
            <w:bookmarkEnd w:id="13"/>
          </w:p>
          <w:bookmarkStart w:id="14" w:name="_Toc156309965"/>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Community health volunteers training</w:t>
            </w:r>
            <w:bookmarkEnd w:id="14"/>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
                <w:bCs/>
                <w:sz w:val="24"/>
                <w:szCs w:val="24"/>
              </w:rPr>
            </w:pPr>
          </w:p>
        </w:tc>
      </w:tr>
      <w:bookmarkStart w:id="15" w:name="_Toc156309967"/>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Opinion leaders’ views and inputs on the preliminary model</w:t>
            </w:r>
            <w:bookmarkEnd w:id="15"/>
          </w:p>
        </w:tc>
      </w:tr>
      <w:bookmarkStart w:id="16" w:name="_Toc156309968"/>
      <w:tr>
        <w:tblPrEx/>
        <w:trPr>
          <w:trHeight w:val="323" w:hRule="atLeast"/>
        </w:trPr>
        <w:tc>
          <w:tcPr>
            <w:tcW w:w="10196" w:type="dxa"/>
            <w:gridSpan w:val="4"/>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Social enterprises</w:t>
            </w:r>
            <w:bookmarkEnd w:id="16"/>
          </w:p>
        </w:tc>
      </w:tr>
      <w:bookmarkStart w:id="17" w:name="_Toc156309969"/>
      <w:tr>
        <w:tblPrEx/>
        <w:trPr>
          <w:trHeight w:val="220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“It will be more interesting if the model can show social entrepreneurs and most preferably the model should stress that eye care professionals should be at the forefront of being social entrepreneurs”</w:t>
            </w:r>
            <w:bookmarkEnd w:id="17"/>
          </w:p>
          <w:bookmarkStart w:id="18" w:name="_Toc156309970"/>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Preferably the model should stress that eye care professionals should be at the forefront of being social entrepreneurs</w:t>
            </w:r>
            <w:bookmarkEnd w:id="18"/>
          </w:p>
          <w:bookmarkStart w:id="19" w:name="_Toc156309971"/>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Forefront of being social entrepreneurs</w:t>
            </w:r>
            <w:bookmarkEnd w:id="19"/>
          </w:p>
          <w:bookmarkStart w:id="20" w:name="_Toc156309972"/>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Social entrepreneurs</w:t>
            </w:r>
            <w:bookmarkEnd w:id="20"/>
          </w:p>
        </w:tc>
      </w:tr>
      <w:bookmarkStart w:id="21" w:name="_Toc156309973"/>
      <w:tr>
        <w:tblPrEx/>
        <w:trPr>
          <w:trHeight w:val="1890"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“I think many eye care professionals are more commercial oriented and this shouldn’t be so as they are the cornerstone for the success of a social enterprise”</w:t>
            </w:r>
            <w:bookmarkEnd w:id="21"/>
          </w:p>
          <w:bookmarkStart w:id="22" w:name="_Toc156309974"/>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They are the cornerstone for the success of a social enterprise</w:t>
            </w:r>
            <w:bookmarkEnd w:id="22"/>
          </w:p>
          <w:bookmarkStart w:id="23" w:name="_Toc156309975"/>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Cornerstone for the success of a social enterprise</w:t>
            </w:r>
            <w:bookmarkEnd w:id="23"/>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p>
        </w:tc>
      </w:tr>
      <w:bookmarkStart w:id="24" w:name="_Toc156309976"/>
      <w:tr>
        <w:tblPrEx/>
        <w:trPr>
          <w:trHeight w:val="189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"Training everyone may not be a solution to refractive error challenge as sustainability remains key hence community health volunteers training should be prioritized”</w:t>
            </w:r>
            <w:bookmarkEnd w:id="24"/>
          </w:p>
          <w:bookmarkStart w:id="25" w:name="_Toc156309977"/>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Community health volunteers training should be prioritized</w:t>
            </w:r>
            <w:bookmarkEnd w:id="25"/>
          </w:p>
          <w:bookmarkStart w:id="26" w:name="_Toc156309978"/>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Community health volunteers training</w:t>
            </w:r>
            <w:bookmarkEnd w:id="26"/>
            <w:r>
              <w:rPr>
                <w:rFonts w:ascii="Times New Roman" w:cs="Times New Roman" w:eastAsia="Times New Roman" w:hAnsi="Times New Roman"/>
                <w:bCs/>
                <w:sz w:val="24"/>
                <w:szCs w:val="24"/>
              </w:rPr>
              <w:t xml:space="preserve"> </w:t>
            </w:r>
          </w:p>
          <w:bookmarkStart w:id="27" w:name="_Toc156309979"/>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Training of personnel</w:t>
            </w:r>
            <w:bookmarkEnd w:id="27"/>
          </w:p>
        </w:tc>
      </w:tr>
      <w:bookmarkStart w:id="28" w:name="_Toc156309980"/>
      <w:tr>
        <w:tblPrEx/>
        <w:trPr>
          <w:trHeight w:val="252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“Social enterprises should consider that refractive error is not all about giving glasses and if any social enterprises decides to train paraprofessionals then they need to let their team know which areas of refractive error they can handle”</w:t>
            </w:r>
            <w:bookmarkEnd w:id="28"/>
          </w:p>
          <w:bookmarkStart w:id="29" w:name="_Toc156309981"/>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If any social enterprises decides to train paraprofessionals then they need to let their team know which areas of refractive error they can handle</w:t>
            </w:r>
            <w:bookmarkEnd w:id="29"/>
          </w:p>
          <w:bookmarkStart w:id="30" w:name="_Toc156309982"/>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Areas of refractive error</w:t>
            </w:r>
            <w:bookmarkEnd w:id="30"/>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31" w:name="_Toc156309983"/>
      <w:tr>
        <w:tblPrEx/>
        <w:trPr>
          <w:trHeight w:val="252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“Quality of refractive error management is very important and social enterprises should limit their training towards public awareness as opposed to training people to refract and dispense as this requires regulation being a health sector”</w:t>
            </w:r>
            <w:bookmarkEnd w:id="31"/>
          </w:p>
          <w:bookmarkStart w:id="32" w:name="_Toc156309984"/>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Social enterprises should limit their training towards public awareness as opposed to training people to refract and dispense</w:t>
            </w:r>
            <w:bookmarkEnd w:id="32"/>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33" w:name="_Toc156309985"/>
            <w:r>
              <w:rPr>
                <w:rFonts w:ascii="Times New Roman" w:cs="Times New Roman" w:eastAsia="Times New Roman" w:hAnsi="Times New Roman"/>
                <w:bCs/>
                <w:sz w:val="24"/>
                <w:szCs w:val="24"/>
              </w:rPr>
              <w:t>Training towards public awareness</w:t>
            </w:r>
            <w:bookmarkEnd w:id="33"/>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34" w:name="_Toc156309986"/>
      <w:tr>
        <w:tblPrEx/>
        <w:trPr>
          <w:trHeight w:val="157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“The influence that community health volunteers have in their areas of jurisdiction makes them well placed to be trained so as to address refractive error burden”</w:t>
            </w:r>
            <w:bookmarkEnd w:id="34"/>
          </w:p>
          <w:bookmarkStart w:id="35" w:name="_Toc156309987"/>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Community health volunteers have in their areas of jurisdiction makes them well placed to be trained</w:t>
            </w:r>
            <w:bookmarkEnd w:id="35"/>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36" w:name="_Toc156309988"/>
            <w:r>
              <w:rPr>
                <w:rFonts w:ascii="Times New Roman" w:cs="Times New Roman" w:eastAsia="Times New Roman" w:hAnsi="Times New Roman"/>
                <w:bCs/>
                <w:sz w:val="24"/>
                <w:szCs w:val="24"/>
              </w:rPr>
              <w:t>Areas of jurisdiction</w:t>
            </w:r>
            <w:bookmarkEnd w:id="36"/>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37" w:name="_Toc156309989"/>
      <w:tr>
        <w:tblPrEx/>
        <w:trPr>
          <w:trHeight w:val="283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“Allowing social enterprises to train human personnel through social firms should be discouraged completely as some social firms may not employ professional eye care providers to undertake the trainings hence warranting a compromised quality of trainees”</w:t>
            </w:r>
            <w:bookmarkEnd w:id="37"/>
          </w:p>
          <w:bookmarkStart w:id="38" w:name="_Toc156309990"/>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Social firms should be discouraged completely as some social firms may not employ professional eye care providers</w:t>
            </w:r>
            <w:bookmarkEnd w:id="38"/>
            <w:r>
              <w:rPr>
                <w:rFonts w:ascii="Times New Roman" w:cs="Times New Roman" w:eastAsia="Times New Roman" w:hAnsi="Times New Roman"/>
                <w:bCs/>
                <w:sz w:val="24"/>
                <w:szCs w:val="24"/>
              </w:rPr>
              <w:t xml:space="preserve"> </w:t>
            </w:r>
          </w:p>
          <w:bookmarkStart w:id="39" w:name="_Toc156309991"/>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Social firms should be discouraged</w:t>
            </w:r>
            <w:bookmarkEnd w:id="39"/>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40" w:name="_Toc156309992"/>
      <w:tr>
        <w:tblPrEx/>
        <w:trPr>
          <w:trHeight w:val="2835"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If social enterprises engage in training every community member through social firms then high possibility that many trained personnel will find it hard to work with the broader eye health as existing eye care professionals will continue to question the trained personnel ability”</w:t>
            </w:r>
            <w:bookmarkEnd w:id="40"/>
          </w:p>
          <w:bookmarkStart w:id="41" w:name="_Toc156309993"/>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Training every community member through social firms</w:t>
            </w:r>
            <w:bookmarkEnd w:id="41"/>
            <w:r>
              <w:rPr>
                <w:rFonts w:ascii="Times New Roman" w:cs="Times New Roman" w:eastAsia="Times New Roman" w:hAnsi="Times New Roman"/>
                <w:bCs/>
                <w:sz w:val="24"/>
                <w:szCs w:val="24"/>
              </w:rPr>
              <w:t xml:space="preserve"> </w:t>
            </w:r>
          </w:p>
          <w:bookmarkStart w:id="42" w:name="_Toc156309994"/>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Training every community member</w:t>
            </w:r>
            <w:bookmarkEnd w:id="42"/>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p>
        </w:tc>
      </w:tr>
      <w:bookmarkStart w:id="43" w:name="_Toc156309995"/>
      <w:tr>
        <w:tblPrEx/>
        <w:trPr>
          <w:trHeight w:val="283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“While social enterprises should focus majorly on establishing vision centres as there are eye care professionals who have the interest in working with them in established centres, they should not place the individuals as the main person </w:t>
            </w:r>
            <w:r>
              <w:rPr>
                <w:rFonts w:ascii="Times New Roman" w:cs="Times New Roman" w:eastAsia="Times New Roman" w:hAnsi="Times New Roman"/>
                <w:bCs/>
                <w:sz w:val="24"/>
                <w:szCs w:val="24"/>
              </w:rPr>
              <w:t>running the vision centres”</w:t>
            </w:r>
            <w:bookmarkEnd w:id="43"/>
          </w:p>
          <w:bookmarkStart w:id="44" w:name="_Toc156309996"/>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They should not place the individuals as the main person running the vision centres</w:t>
            </w:r>
            <w:bookmarkEnd w:id="44"/>
          </w:p>
          <w:bookmarkStart w:id="45" w:name="_Toc156309997"/>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Running the vision centres</w:t>
            </w:r>
            <w:bookmarkEnd w:id="45"/>
          </w:p>
          <w:bookmarkStart w:id="46" w:name="_Toc156309998"/>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Establishment of vision centres</w:t>
            </w:r>
            <w:bookmarkEnd w:id="46"/>
          </w:p>
        </w:tc>
      </w:tr>
      <w:tr>
        <w:tblPrEx/>
        <w:trPr>
          <w:trHeight w:val="252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47" w:name="_Toc156309999"/>
            <w:r>
              <w:rPr>
                <w:rFonts w:ascii="Times New Roman" w:cs="Times New Roman" w:eastAsia="Times New Roman" w:hAnsi="Times New Roman"/>
                <w:bCs/>
                <w:sz w:val="24"/>
                <w:szCs w:val="24"/>
              </w:rPr>
              <w:t>“The least that social enterprises should not do is to train personnel through social firms and allow them to run micro-vision centres which are underequipped and think of engaging professional from public and private sectors as this may not work”</w:t>
            </w:r>
            <w:bookmarkEnd w:id="47"/>
          </w:p>
          <w:bookmarkStart w:id="48" w:name="_Toc156310000"/>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Train personnel through social firms and allow them to run micro-vision centres which are underequipped</w:t>
            </w:r>
            <w:bookmarkEnd w:id="48"/>
            <w:r>
              <w:rPr>
                <w:rFonts w:ascii="Times New Roman" w:cs="Times New Roman" w:eastAsia="Times New Roman" w:hAnsi="Times New Roman"/>
                <w:bCs/>
                <w:sz w:val="24"/>
                <w:szCs w:val="24"/>
              </w:rPr>
              <w:t xml:space="preserve"> </w:t>
            </w:r>
          </w:p>
          <w:bookmarkStart w:id="49" w:name="_Toc156310001"/>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Run micro-vision centres</w:t>
            </w:r>
            <w:bookmarkEnd w:id="49"/>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50" w:name="_Toc156310002"/>
      <w:tr>
        <w:tblPrEx/>
        <w:trPr>
          <w:trHeight w:val="220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“There is nothing good like coming up with vision centres which are comprehensive as opposed to establishing small optical units with no equipment hence less preferred by even the underserved population”</w:t>
            </w:r>
            <w:bookmarkEnd w:id="50"/>
          </w:p>
          <w:bookmarkStart w:id="51" w:name="_Toc156310003"/>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Coming up with vision centres which are comprehensive as opposed to establishing small optical units</w:t>
            </w:r>
            <w:bookmarkEnd w:id="51"/>
            <w:r>
              <w:rPr>
                <w:rFonts w:ascii="Times New Roman" w:cs="Times New Roman" w:eastAsia="Times New Roman" w:hAnsi="Times New Roman"/>
                <w:bCs/>
                <w:sz w:val="24"/>
                <w:szCs w:val="24"/>
              </w:rPr>
              <w:t xml:space="preserve"> </w:t>
            </w:r>
          </w:p>
          <w:bookmarkStart w:id="52" w:name="_Toc156310004"/>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Coming up with vision centres</w:t>
            </w:r>
            <w:bookmarkEnd w:id="52"/>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53" w:name="_Toc156310005"/>
      <w:tr>
        <w:tblPrEx/>
        <w:trPr>
          <w:trHeight w:val="2205"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“Since social enterprises provides good services to the underserved population, sustainability remains a challenge that they encounter </w:t>
            </w:r>
            <w:r>
              <w:rPr>
                <w:rFonts w:ascii="Times New Roman" w:cs="Times New Roman" w:eastAsia="Times New Roman" w:hAnsi="Times New Roman"/>
                <w:bCs/>
                <w:sz w:val="24"/>
                <w:szCs w:val="24"/>
              </w:rPr>
              <w:t>hence they should prioritize vision centre approach so as to generate revenue”</w:t>
            </w:r>
            <w:bookmarkEnd w:id="53"/>
          </w:p>
          <w:bookmarkStart w:id="54" w:name="_Toc156310006"/>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Prioritize vision centre approach so as to generate revenue</w:t>
            </w:r>
            <w:bookmarkEnd w:id="54"/>
          </w:p>
          <w:bookmarkStart w:id="55" w:name="_Toc156310007"/>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Prioritize vision centre</w:t>
            </w:r>
            <w:bookmarkEnd w:id="55"/>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p>
        </w:tc>
      </w:tr>
      <w:bookmarkStart w:id="56" w:name="_Toc156310008"/>
      <w:tr>
        <w:tblPrEx/>
        <w:trPr>
          <w:trHeight w:val="189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“The moment each provider wants to deliver refractive error services independently then we still have a long way to go, as a result, partnership should be prioritized”</w:t>
            </w:r>
            <w:bookmarkEnd w:id="56"/>
          </w:p>
          <w:bookmarkStart w:id="57" w:name="_Toc156310009"/>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Partnership should be prioritized</w:t>
            </w:r>
            <w:bookmarkEnd w:id="57"/>
          </w:p>
          <w:bookmarkStart w:id="58" w:name="_Toc156310010"/>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Partnership</w:t>
            </w:r>
            <w:bookmarkEnd w:id="58"/>
          </w:p>
          <w:bookmarkStart w:id="59" w:name="_Toc156310011"/>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Partnership</w:t>
            </w:r>
            <w:bookmarkEnd w:id="59"/>
          </w:p>
        </w:tc>
      </w:tr>
      <w:bookmarkStart w:id="60" w:name="_Toc156310012"/>
      <w:tr>
        <w:tblPrEx/>
        <w:trPr>
          <w:trHeight w:val="94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“We cannot achieve anything if all sectors in eye health intend to achieve them independently”</w:t>
            </w:r>
            <w:bookmarkEnd w:id="60"/>
          </w:p>
          <w:bookmarkStart w:id="61" w:name="_Toc156310013"/>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All sectors in eye health intend to achieve them independently</w:t>
            </w:r>
            <w:bookmarkEnd w:id="61"/>
          </w:p>
          <w:bookmarkStart w:id="62" w:name="_Toc156310014"/>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All sectors in eye health</w:t>
            </w:r>
            <w:bookmarkEnd w:id="62"/>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p>
        </w:tc>
      </w:tr>
      <w:bookmarkStart w:id="63" w:name="_Toc156310015"/>
      <w:tr>
        <w:tblPrEx/>
        <w:trPr>
          <w:trHeight w:val="220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“Technology is very important and being that there are inadequate human personnel to attend to the growing population, technology will address issues such as detection of refractive error”</w:t>
            </w:r>
            <w:bookmarkEnd w:id="63"/>
          </w:p>
          <w:bookmarkStart w:id="64" w:name="_Toc156310016"/>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Technology will address issues such as detection of refractive error</w:t>
            </w:r>
            <w:bookmarkEnd w:id="64"/>
          </w:p>
          <w:bookmarkStart w:id="65" w:name="_Toc156310017"/>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Detection of refractive error</w:t>
            </w:r>
            <w:bookmarkEnd w:id="65"/>
          </w:p>
          <w:bookmarkStart w:id="66" w:name="_Toc156310018"/>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Technology</w:t>
            </w:r>
            <w:bookmarkEnd w:id="66"/>
          </w:p>
        </w:tc>
      </w:tr>
      <w:bookmarkStart w:id="67" w:name="_Toc156310019"/>
      <w:tr>
        <w:tblPrEx/>
        <w:trPr>
          <w:trHeight w:val="1575"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“If there can be a good technology then refractive error service delivery can be enhanced as issues around </w:t>
            </w:r>
            <w:r>
              <w:rPr>
                <w:rFonts w:ascii="Times New Roman" w:cs="Times New Roman" w:eastAsia="Times New Roman" w:hAnsi="Times New Roman"/>
                <w:bCs/>
                <w:sz w:val="24"/>
                <w:szCs w:val="24"/>
              </w:rPr>
              <w:t>communication will be addressed”</w:t>
            </w:r>
            <w:bookmarkEnd w:id="67"/>
          </w:p>
          <w:bookmarkStart w:id="68" w:name="_Toc156310020"/>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A good technology then refractive error service delivery can be enhanced</w:t>
            </w:r>
            <w:bookmarkEnd w:id="68"/>
            <w:r>
              <w:rPr>
                <w:rFonts w:ascii="Times New Roman" w:cs="Times New Roman" w:eastAsia="Times New Roman" w:hAnsi="Times New Roman"/>
                <w:bCs/>
                <w:sz w:val="24"/>
                <w:szCs w:val="24"/>
              </w:rPr>
              <w:t xml:space="preserve"> </w:t>
            </w:r>
          </w:p>
          <w:bookmarkStart w:id="69" w:name="_Toc156310021"/>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Service delivery</w:t>
            </w:r>
            <w:bookmarkEnd w:id="69"/>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p>
        </w:tc>
      </w:tr>
      <w:bookmarkStart w:id="70" w:name="_Toc156310022"/>
      <w:tr>
        <w:tblPrEx/>
        <w:trPr>
          <w:trHeight w:val="189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“Since social enterprises must also generate some revenue to sustain themselves, they can partner with other sectors in eye health so that their services can be used for subsidization”</w:t>
            </w:r>
            <w:bookmarkEnd w:id="70"/>
          </w:p>
          <w:bookmarkStart w:id="71" w:name="_Toc156310023"/>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Social enterprises must also generate some revenue to sustain themselves</w:t>
            </w:r>
            <w:bookmarkEnd w:id="71"/>
          </w:p>
          <w:bookmarkStart w:id="72" w:name="_Toc156310024"/>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Generate some revenue</w:t>
            </w:r>
            <w:bookmarkEnd w:id="72"/>
          </w:p>
          <w:bookmarkStart w:id="73" w:name="_Toc156310025"/>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Cross-subsidization</w:t>
            </w:r>
            <w:bookmarkEnd w:id="73"/>
          </w:p>
        </w:tc>
      </w:tr>
      <w:bookmarkStart w:id="74" w:name="_Toc156310026"/>
      <w:tr>
        <w:tblPrEx/>
        <w:trPr>
          <w:trHeight w:val="126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“A strong partnership will be required for each sector to agree on the cross-subsidization approach”</w:t>
            </w:r>
            <w:bookmarkEnd w:id="74"/>
          </w:p>
          <w:bookmarkStart w:id="75" w:name="_Toc156310027"/>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Strong partnership will be required for each sector to agree on the cross-subsidization</w:t>
            </w:r>
            <w:bookmarkEnd w:id="75"/>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76" w:name="_Toc156310028"/>
            <w:r>
              <w:rPr>
                <w:rFonts w:ascii="Times New Roman" w:cs="Times New Roman" w:eastAsia="Times New Roman" w:hAnsi="Times New Roman"/>
                <w:bCs/>
                <w:sz w:val="24"/>
                <w:szCs w:val="24"/>
              </w:rPr>
              <w:t>Each sector to agree</w:t>
            </w:r>
            <w:bookmarkEnd w:id="76"/>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77" w:name="_Toc156310029"/>
      <w:tr>
        <w:tblPrEx/>
        <w:trPr>
          <w:trHeight w:val="157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It will be more interesting if the model incorporate the aspect of subsidization so that majority within the economic pyramid can afford refractive error services”</w:t>
            </w:r>
            <w:bookmarkEnd w:id="77"/>
          </w:p>
          <w:bookmarkStart w:id="78" w:name="_Toc156310030"/>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Model incorporate the aspect of subsidization so that majority within the economic pyramid can afford</w:t>
            </w:r>
            <w:bookmarkEnd w:id="78"/>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79" w:name="_Toc156310031"/>
            <w:r>
              <w:rPr>
                <w:rFonts w:ascii="Times New Roman" w:cs="Times New Roman" w:eastAsia="Times New Roman" w:hAnsi="Times New Roman"/>
                <w:bCs/>
                <w:sz w:val="24"/>
                <w:szCs w:val="24"/>
              </w:rPr>
              <w:t>Economic pyramid can afford</w:t>
            </w:r>
            <w:bookmarkEnd w:id="79"/>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80" w:name="_Toc156310032"/>
      <w:tr>
        <w:tblPrEx/>
        <w:trPr>
          <w:trHeight w:val="1890"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“Setting up a policy framework that includes subsidization will be very important as it will enhance affordability which remains a major barrier for refractive error service delivery”</w:t>
            </w:r>
            <w:bookmarkEnd w:id="80"/>
          </w:p>
          <w:bookmarkStart w:id="81" w:name="_Toc156310033"/>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Policy framework that includes subsidization will be very important as it will enhance affordability</w:t>
            </w:r>
            <w:bookmarkEnd w:id="81"/>
            <w:r>
              <w:rPr>
                <w:rFonts w:ascii="Times New Roman" w:cs="Times New Roman" w:eastAsia="Times New Roman" w:hAnsi="Times New Roman"/>
                <w:bCs/>
                <w:sz w:val="24"/>
                <w:szCs w:val="24"/>
              </w:rPr>
              <w:t xml:space="preserve"> </w:t>
            </w:r>
          </w:p>
          <w:bookmarkStart w:id="82" w:name="_Toc156310034"/>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Affordability</w:t>
            </w:r>
            <w:bookmarkEnd w:id="82"/>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p>
        </w:tc>
      </w:tr>
      <w:bookmarkStart w:id="83" w:name="_Toc156310035"/>
      <w:tr>
        <w:tblPrEx/>
        <w:trPr>
          <w:trHeight w:val="126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“Referral is very crucial and if social enterprises can embrace it then refractive error will be addressed effectively”</w:t>
            </w:r>
            <w:bookmarkEnd w:id="83"/>
          </w:p>
          <w:bookmarkStart w:id="84" w:name="_Toc156310036"/>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Referral is very crucial and if social enterprises can embrace it</w:t>
            </w:r>
            <w:bookmarkEnd w:id="84"/>
          </w:p>
          <w:bookmarkStart w:id="85" w:name="_Toc156310037"/>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Referral</w:t>
            </w:r>
            <w:bookmarkEnd w:id="85"/>
          </w:p>
          <w:bookmarkStart w:id="86" w:name="_Toc156310038"/>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Referral</w:t>
            </w:r>
            <w:bookmarkEnd w:id="86"/>
          </w:p>
        </w:tc>
      </w:tr>
      <w:bookmarkStart w:id="87" w:name="_Toc156310039"/>
      <w:tr>
        <w:tblPrEx/>
        <w:trPr>
          <w:trHeight w:val="1890"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“The eye health ecosystem ranging from private, social enterprises and even the public sector cannot address refractive error effectively without a referral chain”</w:t>
            </w:r>
            <w:bookmarkEnd w:id="87"/>
          </w:p>
          <w:bookmarkStart w:id="88" w:name="_Toc156310040"/>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Private, social enterprises and even the public sector cannot address refractive error effectively without a referral chain</w:t>
            </w:r>
            <w:bookmarkEnd w:id="88"/>
          </w:p>
          <w:bookmarkStart w:id="89" w:name="_Toc156310041"/>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Referral chain</w:t>
            </w:r>
            <w:bookmarkEnd w:id="89"/>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90" w:name="_Toc156310042"/>
      <w:tr>
        <w:tblPrEx/>
        <w:trPr>
          <w:trHeight w:val="315" w:hRule="atLeast"/>
        </w:trPr>
        <w:tc>
          <w:tcPr>
            <w:tcW w:w="10196" w:type="dxa"/>
            <w:gridSpan w:val="4"/>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Opinion leaders views on the final model</w:t>
            </w:r>
            <w:bookmarkEnd w:id="90"/>
          </w:p>
        </w:tc>
      </w:tr>
      <w:bookmarkStart w:id="91" w:name="_Toc156310043"/>
      <w:tr>
        <w:tblPrEx/>
        <w:trPr>
          <w:trHeight w:val="630"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“The comprehensive nature of this proposed model will create a difference on refractive error management as it incorporates different aspects influencing the eye health”</w:t>
            </w:r>
            <w:bookmarkEnd w:id="91"/>
          </w:p>
          <w:bookmarkStart w:id="92" w:name="_Toc156310044"/>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It incorporates different aspects influencing the eye health</w:t>
            </w:r>
            <w:bookmarkEnd w:id="92"/>
          </w:p>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93" w:name="_Toc156310045"/>
            <w:r>
              <w:rPr>
                <w:rFonts w:ascii="Times New Roman" w:cs="Times New Roman" w:eastAsia="Times New Roman" w:hAnsi="Times New Roman"/>
                <w:bCs/>
                <w:sz w:val="24"/>
                <w:szCs w:val="24"/>
              </w:rPr>
              <w:t>Incorporates different aspects</w:t>
            </w:r>
            <w:bookmarkEnd w:id="93"/>
          </w:p>
          <w:bookmarkStart w:id="94" w:name="_Toc156310046"/>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Comprehensive model</w:t>
            </w:r>
            <w:bookmarkEnd w:id="94"/>
          </w:p>
        </w:tc>
      </w:tr>
      <w:bookmarkStart w:id="95" w:name="_Toc156310047"/>
      <w:tr>
        <w:tblPrEx/>
        <w:trPr>
          <w:trHeight w:val="2205" w:hRule="atLeast"/>
        </w:trPr>
        <w:tc>
          <w:tcPr>
            <w:tcW w:w="3369"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“This proposed model is interesting as it tries to bridge the gap existing in other models hence if this proposed model is implemented then a lot of aspects on refractive error will be addressed”</w:t>
            </w:r>
            <w:bookmarkEnd w:id="95"/>
          </w:p>
          <w:bookmarkStart w:id="96" w:name="_Toc156310048"/>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Proposed model is interesting as it tries to bridge the gap existing in other models</w:t>
            </w:r>
            <w:bookmarkEnd w:id="96"/>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xml:space="preserve"> </w:t>
            </w:r>
            <w:bookmarkStart w:id="97" w:name="_Toc156310049"/>
            <w:r>
              <w:rPr>
                <w:rFonts w:ascii="Times New Roman" w:cs="Times New Roman" w:eastAsia="Times New Roman" w:hAnsi="Times New Roman"/>
                <w:bCs/>
                <w:sz w:val="24"/>
                <w:szCs w:val="24"/>
              </w:rPr>
              <w:t>Bridge the gap</w:t>
            </w:r>
            <w:bookmarkEnd w:id="97"/>
            <w:r>
              <w:rPr>
                <w:rFonts w:ascii="Times New Roman" w:cs="Times New Roman" w:eastAsia="Times New Roman" w:hAnsi="Times New Roman"/>
                <w:bCs/>
                <w:sz w:val="24"/>
                <w:szCs w:val="24"/>
              </w:rPr>
              <w:t xml:space="preserve"> </w:t>
            </w:r>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bookmarkStart w:id="98" w:name="_Toc156310050"/>
      <w:tr>
        <w:tblPrEx/>
        <w:trPr>
          <w:trHeight w:val="1890" w:hRule="atLeast"/>
        </w:trPr>
        <w:tc>
          <w:tcPr>
            <w:tcW w:w="3369"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“Existing models using different aspects within this proposed model have not thought of combining different aspects, hence this proposed model seems adequate in content”</w:t>
            </w:r>
            <w:bookmarkEnd w:id="98"/>
          </w:p>
          <w:bookmarkStart w:id="99" w:name="_Toc156310051"/>
          <w:bookmarkEnd w:id="1"/>
        </w:tc>
        <w:tc>
          <w:tcPr>
            <w:tcW w:w="3245"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Existing models using different aspects within this proposed model have not thought of combining different aspects</w:t>
            </w:r>
            <w:bookmarkEnd w:id="99"/>
          </w:p>
          <w:bookmarkStart w:id="100" w:name="_Toc156310052"/>
        </w:tc>
        <w:tc>
          <w:tcPr>
            <w:tcW w:w="1791" w:type="dxa"/>
            <w:tcBorders>
              <w:top w:val="single" w:sz="4" w:space="0" w:color="000000"/>
              <w:left w:val="single" w:sz="4" w:space="0" w:color="000000"/>
              <w:bottom w:val="single" w:sz="4" w:space="0" w:color="000000"/>
              <w:right w:val="single" w:sz="4" w:space="0" w:color="000000"/>
            </w:tcBorders>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Combining different aspects</w:t>
            </w:r>
            <w:bookmarkEnd w:id="100"/>
          </w:p>
        </w:tc>
        <w:tc>
          <w:tcPr>
            <w:tcW w:w="1791" w:type="dxa"/>
            <w:tcBorders>
              <w:top w:val="single" w:sz="4" w:space="0" w:color="000000"/>
              <w:left w:val="single" w:sz="4" w:space="0" w:color="000000"/>
              <w:bottom w:val="single" w:sz="4" w:space="0" w:color="000000"/>
              <w:right w:val="single" w:sz="4" w:space="0" w:color="000000"/>
            </w:tcBorders>
            <w:noWrap/>
            <w:hideMark/>
          </w:tcPr>
          <w:p>
            <w:pPr>
              <w:pStyle w:val="style0"/>
              <w:widowControl w:val="false"/>
              <w:autoSpaceDE w:val="false"/>
              <w:autoSpaceDN w:val="false"/>
              <w:spacing w:before="77" w:lineRule="auto" w:line="360"/>
              <w:jc w:val="both"/>
              <w:outlineLvl w:val="0"/>
              <w:rPr>
                <w:rFonts w:ascii="Times New Roman" w:cs="Times New Roman" w:eastAsia="Times New Roman" w:hAnsi="Times New Roman"/>
                <w:bCs/>
                <w:sz w:val="24"/>
                <w:szCs w:val="24"/>
              </w:rPr>
            </w:pPr>
            <w:r>
              <w:rPr>
                <w:rFonts w:ascii="Times New Roman" w:cs="Times New Roman" w:eastAsia="Times New Roman" w:hAnsi="Times New Roman"/>
                <w:bCs/>
                <w:sz w:val="24"/>
                <w:szCs w:val="24"/>
              </w:rPr>
              <w:t> </w:t>
            </w:r>
          </w:p>
        </w:tc>
      </w:tr>
    </w:tbl>
    <w:p>
      <w:pPr>
        <w:pStyle w:val="style0"/>
        <w:widowControl w:val="false"/>
        <w:autoSpaceDE w:val="false"/>
        <w:autoSpaceDN w:val="false"/>
        <w:spacing w:after="0" w:lineRule="auto" w:line="360"/>
        <w:jc w:val="both"/>
        <w:rPr>
          <w:rFonts w:ascii="Times New Roman" w:cs="Times New Roman" w:eastAsia="Times New Roman" w:hAnsi="Times New Roman"/>
          <w:b/>
          <w:bCs/>
          <w:sz w:val="24"/>
          <w:szCs w:val="24"/>
        </w:rPr>
      </w:pPr>
    </w:p>
    <w:p>
      <w:pPr>
        <w:pStyle w:val="style0"/>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p>
  <w:p>
    <w:pPr>
      <w:pStyle w:val="style31"/>
      <w:rPr/>
    </w:pPr>
  </w:p>
  <w:p>
    <w:pPr>
      <w:pStyle w:val="style31"/>
      <w:rPr/>
    </w:pPr>
    <w:r>
      <w:t>Taxonomy</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3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f06f2a3-6631-4f9f-9af2-c4f7f061f99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782f1e8-c42d-4a7e-960d-90d432d8639e"/>
    <w:basedOn w:val="style65"/>
    <w:next w:val="style4098"/>
    <w:link w:val="style32"/>
    <w:uiPriority w:val="99"/>
  </w:style>
  <w:style w:type="table" w:styleId="style167">
    <w:name w:val="Medium Grid 3"/>
    <w:basedOn w:val="style105"/>
    <w:next w:val="style16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000000"/>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000000"/>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f81b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f81b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c0504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c0504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9bbb59"/>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9bbb59"/>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8064a2"/>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8064a2"/>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bacc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bacc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f7964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f7964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cPr>
      <w:tcBorders/>
      <w:shd w:val="clear" w:color="auto" w:fill="fde4d0"/>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1349</Words>
  <Pages>9</Pages>
  <Characters>7772</Characters>
  <Application>WPS Office</Application>
  <DocSecurity>0</DocSecurity>
  <Paragraphs>172</Paragraphs>
  <ScaleCrop>false</ScaleCrop>
  <LinksUpToDate>false</LinksUpToDate>
  <CharactersWithSpaces>9066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2024-06-29T18:00:00Z</dcterms:created>
  <dc:creator>Shadrack Muma</dc:creator>
  <lastModifiedBy>SM-A600F</lastModifiedBy>
  <dcterms:modified xsi:type="dcterms:W3CDTF">2024-07-01T11:57:12Z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d5457361420a425c8dc8e72b211bfa8d</vt:lpwstr>
  </property>
</Properties>
</file>