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27016A" w14:textId="68682A9F" w:rsidR="000C6497" w:rsidRPr="000C6497" w:rsidRDefault="000C6497">
      <w:pPr>
        <w:rPr>
          <w:b/>
          <w:bCs/>
        </w:rPr>
      </w:pPr>
      <w:r w:rsidRPr="000C6497">
        <w:rPr>
          <w:b/>
          <w:bCs/>
        </w:rPr>
        <w:t>Methods</w:t>
      </w:r>
    </w:p>
    <w:p w14:paraId="1E94C741" w14:textId="016E3779" w:rsidR="00BA2C03" w:rsidRDefault="000C6497">
      <w:proofErr w:type="gramStart"/>
      <w:r>
        <w:t>For the purpose of</w:t>
      </w:r>
      <w:proofErr w:type="gramEnd"/>
      <w:r>
        <w:t xml:space="preserve"> this study, six fragments were thin sectioned, microscopically observed, described and </w:t>
      </w:r>
      <w:proofErr w:type="spellStart"/>
      <w:r>
        <w:t>analysed</w:t>
      </w:r>
      <w:proofErr w:type="spellEnd"/>
      <w:r>
        <w:t xml:space="preserve"> by microtomography, scanning electron microscope (SEM) as well as 3D modelling and subjected to the determination of total organic carbon (TOC) amount. One of the samples (K8) was examined by the means of X-ray powder diffraction (XRD) to identify its bulk phase composition and differential scanning calorimetry and thermogravimetry (DSC/TG) to quantify the remaining organic matter. Moreover, we designed a firing experiment </w:t>
      </w:r>
      <w:proofErr w:type="gramStart"/>
      <w:r>
        <w:t>in order to</w:t>
      </w:r>
      <w:proofErr w:type="gramEnd"/>
      <w:r>
        <w:t xml:space="preserve"> simulate the firing technology and more closely determine the firing temperature. Thin sections of 30 </w:t>
      </w:r>
      <w:proofErr w:type="spellStart"/>
      <w:r>
        <w:t>μm</w:t>
      </w:r>
      <w:proofErr w:type="spellEnd"/>
      <w:r>
        <w:t xml:space="preserve"> thickness were </w:t>
      </w:r>
      <w:proofErr w:type="spellStart"/>
      <w:r>
        <w:t>analysed</w:t>
      </w:r>
      <w:proofErr w:type="spellEnd"/>
      <w:r>
        <w:t xml:space="preserve"> micro-petrographically. The sections were studied under a polarizing microscope Olympus BX 51 according to Whitbread (summarized in Hunt 2017) and Quinn (2013). Inclusion and void abundance were expressed as semi quantities according to Sauer (2005) and Fitzpatrick (1984). Organic content was estimated by the amount of organic shaped pores. Identification of organic inclusions was carried out using anatomical description by G. Martínez-</w:t>
      </w:r>
      <w:proofErr w:type="spellStart"/>
      <w:r>
        <w:t>Sagarra</w:t>
      </w:r>
      <w:proofErr w:type="spellEnd"/>
      <w:r>
        <w:t xml:space="preserve"> (2017). SEM images were carried out by JEOL 6490 LV instrument with ED spectrometer LN2-free. XRD analysis was conducted using a Bruker D8 Advance diffractometer at the conventional reflection geometry. Ni-filtered copper radiation (</w:t>
      </w:r>
      <w:proofErr w:type="spellStart"/>
      <w:r>
        <w:t>λK</w:t>
      </w:r>
      <w:proofErr w:type="spellEnd"/>
      <w:r>
        <w:t xml:space="preserve">α = 0.15418 nm) was used. The data was processed with the help of the Bruker AXS </w:t>
      </w:r>
      <w:proofErr w:type="spellStart"/>
      <w:r>
        <w:t>Diffrac</w:t>
      </w:r>
      <w:proofErr w:type="spellEnd"/>
      <w:r>
        <w:t xml:space="preserve"> plus EVA 2 and Topas 3 software. The quantitative phase analysis was done by the Rietveld method. TOC was determined as the difference between TC and IC (EN 1484) using TOC-V(CPH) with the module TNM-1 and was used to quantify the amount of charred organic matter in samples. Thermal analysis (DSC/TG) was carried out using a </w:t>
      </w:r>
      <w:proofErr w:type="spellStart"/>
      <w:r>
        <w:t>Setaram</w:t>
      </w:r>
      <w:proofErr w:type="spellEnd"/>
      <w:r>
        <w:t xml:space="preserve"> </w:t>
      </w:r>
      <w:proofErr w:type="spellStart"/>
      <w:r>
        <w:t>Setsys</w:t>
      </w:r>
      <w:proofErr w:type="spellEnd"/>
      <w:r>
        <w:t xml:space="preserve"> Evolution 1750 instrument. The experiment was conducted in a dynamic air atmosphere with a constant heating rate 10 °C/min in the temperature range 40–1000 °C. The acquired data was processed using the </w:t>
      </w:r>
      <w:proofErr w:type="spellStart"/>
      <w:r>
        <w:t>Setaram</w:t>
      </w:r>
      <w:proofErr w:type="spellEnd"/>
      <w:r>
        <w:t xml:space="preserve"> Processing software. X-ray computed micro-tomography (</w:t>
      </w:r>
      <w:proofErr w:type="spellStart"/>
      <w:r>
        <w:t>μCT</w:t>
      </w:r>
      <w:proofErr w:type="spellEnd"/>
      <w:r>
        <w:t xml:space="preserve">) was used to </w:t>
      </w:r>
      <w:proofErr w:type="spellStart"/>
      <w:r>
        <w:t>visualise</w:t>
      </w:r>
      <w:proofErr w:type="spellEnd"/>
      <w:r>
        <w:t xml:space="preserve"> the organic matter and related porosity. The scanning was performed on the laboratory GE Phoenix </w:t>
      </w:r>
      <w:proofErr w:type="spellStart"/>
      <w:r>
        <w:t>v|tome|x</w:t>
      </w:r>
      <w:proofErr w:type="spellEnd"/>
      <w:r>
        <w:t xml:space="preserve"> L 240 system. The volume was reconstructed, </w:t>
      </w:r>
      <w:proofErr w:type="spellStart"/>
      <w:r>
        <w:t>analysed</w:t>
      </w:r>
      <w:proofErr w:type="spellEnd"/>
      <w:r>
        <w:t xml:space="preserve"> and segmented with </w:t>
      </w:r>
      <w:proofErr w:type="spellStart"/>
      <w:r>
        <w:t>Datos|x</w:t>
      </w:r>
      <w:proofErr w:type="spellEnd"/>
      <w:r>
        <w:t xml:space="preserve"> and VG Studio MAX </w:t>
      </w:r>
      <w:proofErr w:type="spellStart"/>
      <w:r>
        <w:t>softwares</w:t>
      </w:r>
      <w:proofErr w:type="spellEnd"/>
      <w:r>
        <w:t xml:space="preserve">. We separated the ceramic paste from air and organic matter using the automatic surface determination. We segmented the organic matter from air with a? VG Studio porosity module and refined the segmentation using erosion/dilation filtering (+/- 1 pixel) to clean the data from the smaller particles related to noise. A Nikon D750 camera mounted on a stand and a 60-mm lens were used to capture photos of the sherd under various angles. A virtual copy of the fragment was created using the Structure from Motion method (De Reu et al. 2014 method) and mounted on a stand. Afterwards we carried out the reconstruction of the shape based on reviews of known pottery forms from contemporary Early Neolithic and Late Mesolithic pottery from the Southeast and East European and Asian regions (e.g. </w:t>
      </w:r>
      <w:proofErr w:type="spellStart"/>
      <w:r>
        <w:t>Zhushchikhovskaya</w:t>
      </w:r>
      <w:proofErr w:type="spellEnd"/>
      <w:r>
        <w:t xml:space="preserve"> 2009; </w:t>
      </w:r>
      <w:proofErr w:type="spellStart"/>
      <w:r>
        <w:t>Mazurkievich</w:t>
      </w:r>
      <w:proofErr w:type="spellEnd"/>
      <w:r>
        <w:t xml:space="preserve"> &amp; </w:t>
      </w:r>
      <w:proofErr w:type="spellStart"/>
      <w:r>
        <w:t>Dolbunova</w:t>
      </w:r>
      <w:proofErr w:type="spellEnd"/>
      <w:r>
        <w:t xml:space="preserve"> 2015; </w:t>
      </w:r>
      <w:proofErr w:type="spellStart"/>
      <w:r>
        <w:t>Jakucs</w:t>
      </w:r>
      <w:proofErr w:type="spellEnd"/>
      <w:r>
        <w:t xml:space="preserve"> et al. 2018; Andreev &amp; </w:t>
      </w:r>
      <w:proofErr w:type="spellStart"/>
      <w:r>
        <w:t>Vybornov</w:t>
      </w:r>
      <w:proofErr w:type="spellEnd"/>
      <w:r>
        <w:t xml:space="preserve"> 2021). The software processing took place in the </w:t>
      </w:r>
      <w:proofErr w:type="spellStart"/>
      <w:r>
        <w:t>Agisoft</w:t>
      </w:r>
      <w:proofErr w:type="spellEnd"/>
      <w:r>
        <w:t xml:space="preserve"> </w:t>
      </w:r>
      <w:proofErr w:type="spellStart"/>
      <w:r>
        <w:t>Metashape</w:t>
      </w:r>
      <w:proofErr w:type="spellEnd"/>
      <w:r>
        <w:t xml:space="preserve"> </w:t>
      </w:r>
      <w:proofErr w:type="gramStart"/>
      <w:r>
        <w:t>software</w:t>
      </w:r>
      <w:proofErr w:type="gramEnd"/>
      <w:r>
        <w:t xml:space="preserve"> and the Blender software based on the drawing documentation (cf. </w:t>
      </w:r>
      <w:proofErr w:type="spellStart"/>
      <w:r>
        <w:t>Poigt</w:t>
      </w:r>
      <w:proofErr w:type="spellEnd"/>
      <w:r>
        <w:t xml:space="preserve"> et al. 2021) and then virtually deformed in this software so that the 3D scan could be spatially settled. The experimental firing took place under field conditions, employing a bonfire firing (Orton et al. 1993) designed </w:t>
      </w:r>
      <w:proofErr w:type="gramStart"/>
      <w:r>
        <w:t>on the basis of</w:t>
      </w:r>
      <w:proofErr w:type="gramEnd"/>
      <w:r>
        <w:t xml:space="preserve"> previous experimental firings of R. </w:t>
      </w:r>
      <w:proofErr w:type="spellStart"/>
      <w:r>
        <w:t>Thér</w:t>
      </w:r>
      <w:proofErr w:type="spellEnd"/>
      <w:r>
        <w:t xml:space="preserve"> (2013; 2018). Pottery interspersed with wood (spruce and pine chips), were used to replicate the appearance of discovered pottery. These experimental vessels were made from loess clay, heavily tempered with grass. The loess clay was gathered at </w:t>
      </w:r>
      <w:proofErr w:type="spellStart"/>
      <w:r>
        <w:t>Kalinčiakovo</w:t>
      </w:r>
      <w:proofErr w:type="spellEnd"/>
      <w:r>
        <w:t xml:space="preserve"> village in the close vicinity of </w:t>
      </w:r>
      <w:proofErr w:type="spellStart"/>
      <w:r>
        <w:t>Santovka</w:t>
      </w:r>
      <w:proofErr w:type="spellEnd"/>
      <w:r>
        <w:t xml:space="preserve"> village (N48.1997917, E18.6601175). The grass was cut shorter and mixed into the clay white it was still fresh. The grass </w:t>
      </w:r>
      <w:r>
        <w:lastRenderedPageBreak/>
        <w:t>temper ratio to clay was 1:2 in volume. The prepared paste was stored for three months. Rather than being formed from coils, they were shaped from whole pieces of clay into a bowl-like form. When the firewood was ignited, it was allowed to burn naturally, without adding more fuel. An infrared thermometer Testo 835-T2 was used to measure the surface temperature of visible vessels. Three samples of pots placed in the centermost section with the supposed lowest availability of oxygen during the experimental firing were used for comparison of organic matter preservation using thin section analysis.</w:t>
      </w:r>
    </w:p>
    <w:p w14:paraId="112A6030" w14:textId="77777777" w:rsidR="00DF1103" w:rsidRDefault="00DF1103"/>
    <w:p w14:paraId="24EB2BB9" w14:textId="77777777" w:rsidR="00DF1103" w:rsidRPr="00DF1103" w:rsidRDefault="00DF1103" w:rsidP="00DF110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F1103">
        <w:rPr>
          <w:rFonts w:ascii="Times New Roman" w:eastAsia="Times New Roman" w:hAnsi="Times New Roman" w:cs="Times New Roman"/>
          <w:b/>
          <w:bCs/>
          <w:kern w:val="0"/>
          <w:sz w:val="24"/>
          <w:szCs w:val="24"/>
          <w14:ligatures w14:val="none"/>
        </w:rPr>
        <w:t>Methods</w:t>
      </w:r>
    </w:p>
    <w:p w14:paraId="6CF919D8" w14:textId="77777777" w:rsidR="00DF1103" w:rsidRPr="00DF1103" w:rsidRDefault="00DF1103" w:rsidP="00DF1103">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gramStart"/>
      <w:r w:rsidRPr="00DF1103">
        <w:rPr>
          <w:rFonts w:ascii="Times New Roman" w:eastAsia="Times New Roman" w:hAnsi="Times New Roman" w:cs="Times New Roman"/>
          <w:kern w:val="0"/>
          <w:sz w:val="24"/>
          <w:szCs w:val="24"/>
          <w14:ligatures w14:val="none"/>
        </w:rPr>
        <w:t>For the purpose of</w:t>
      </w:r>
      <w:proofErr w:type="gramEnd"/>
      <w:r w:rsidRPr="00DF1103">
        <w:rPr>
          <w:rFonts w:ascii="Times New Roman" w:eastAsia="Times New Roman" w:hAnsi="Times New Roman" w:cs="Times New Roman"/>
          <w:kern w:val="0"/>
          <w:sz w:val="24"/>
          <w:szCs w:val="24"/>
          <w14:ligatures w14:val="none"/>
        </w:rPr>
        <w:t xml:space="preserve"> this study, six fragments were thin sectioned, microscopically observed, described and </w:t>
      </w:r>
      <w:proofErr w:type="spellStart"/>
      <w:r w:rsidRPr="00DF1103">
        <w:rPr>
          <w:rFonts w:ascii="Times New Roman" w:eastAsia="Times New Roman" w:hAnsi="Times New Roman" w:cs="Times New Roman"/>
          <w:kern w:val="0"/>
          <w:sz w:val="24"/>
          <w:szCs w:val="24"/>
          <w14:ligatures w14:val="none"/>
        </w:rPr>
        <w:t>analysed</w:t>
      </w:r>
      <w:proofErr w:type="spellEnd"/>
      <w:r w:rsidRPr="00DF1103">
        <w:rPr>
          <w:rFonts w:ascii="Times New Roman" w:eastAsia="Times New Roman" w:hAnsi="Times New Roman" w:cs="Times New Roman"/>
          <w:kern w:val="0"/>
          <w:sz w:val="24"/>
          <w:szCs w:val="24"/>
          <w14:ligatures w14:val="none"/>
        </w:rPr>
        <w:t xml:space="preserve"> by microtomography, scanning electron microscope (SEM) as well as 3D modelling and subjected to the determination of total organic carbon (TOC) amount. One of the samples (K8) was examined by the means of X-ray powder diffraction (XRD) to identify its bulk phase composition and differential scanning calorimetry and thermogravimetry (DSC/TG) to quantify the remaining organic matter. Moreover, we designed a firing experiment </w:t>
      </w:r>
      <w:proofErr w:type="gramStart"/>
      <w:r w:rsidRPr="00DF1103">
        <w:rPr>
          <w:rFonts w:ascii="Times New Roman" w:eastAsia="Times New Roman" w:hAnsi="Times New Roman" w:cs="Times New Roman"/>
          <w:kern w:val="0"/>
          <w:sz w:val="24"/>
          <w:szCs w:val="24"/>
          <w14:ligatures w14:val="none"/>
        </w:rPr>
        <w:t>in order to</w:t>
      </w:r>
      <w:proofErr w:type="gramEnd"/>
      <w:r w:rsidRPr="00DF1103">
        <w:rPr>
          <w:rFonts w:ascii="Times New Roman" w:eastAsia="Times New Roman" w:hAnsi="Times New Roman" w:cs="Times New Roman"/>
          <w:kern w:val="0"/>
          <w:sz w:val="24"/>
          <w:szCs w:val="24"/>
          <w14:ligatures w14:val="none"/>
        </w:rPr>
        <w:t xml:space="preserve"> simulate the firing technology and more closely determine the firing temperature. Thin sections of 30 </w:t>
      </w:r>
      <w:proofErr w:type="spellStart"/>
      <w:r w:rsidRPr="00DF1103">
        <w:rPr>
          <w:rFonts w:ascii="Times New Roman" w:eastAsia="Times New Roman" w:hAnsi="Times New Roman" w:cs="Times New Roman"/>
          <w:kern w:val="0"/>
          <w:sz w:val="24"/>
          <w:szCs w:val="24"/>
          <w14:ligatures w14:val="none"/>
        </w:rPr>
        <w:t>μm</w:t>
      </w:r>
      <w:proofErr w:type="spellEnd"/>
      <w:r w:rsidRPr="00DF1103">
        <w:rPr>
          <w:rFonts w:ascii="Times New Roman" w:eastAsia="Times New Roman" w:hAnsi="Times New Roman" w:cs="Times New Roman"/>
          <w:kern w:val="0"/>
          <w:sz w:val="24"/>
          <w:szCs w:val="24"/>
          <w14:ligatures w14:val="none"/>
        </w:rPr>
        <w:t xml:space="preserve"> thickness were </w:t>
      </w:r>
      <w:proofErr w:type="spellStart"/>
      <w:r w:rsidRPr="00DF1103">
        <w:rPr>
          <w:rFonts w:ascii="Times New Roman" w:eastAsia="Times New Roman" w:hAnsi="Times New Roman" w:cs="Times New Roman"/>
          <w:kern w:val="0"/>
          <w:sz w:val="24"/>
          <w:szCs w:val="24"/>
          <w14:ligatures w14:val="none"/>
        </w:rPr>
        <w:t>analysed</w:t>
      </w:r>
      <w:proofErr w:type="spellEnd"/>
      <w:r w:rsidRPr="00DF1103">
        <w:rPr>
          <w:rFonts w:ascii="Times New Roman" w:eastAsia="Times New Roman" w:hAnsi="Times New Roman" w:cs="Times New Roman"/>
          <w:kern w:val="0"/>
          <w:sz w:val="24"/>
          <w:szCs w:val="24"/>
          <w14:ligatures w14:val="none"/>
        </w:rPr>
        <w:t xml:space="preserve"> micro-petrographically. The sections were studied under a polarizing microscope Olympus BX 51 according to Whitbread [1] (summarized in Hunt [2]) and Quinn [3]. Inclusion and void abundance were expressed as semi quantities according to Sauer [4] and Fitzpatrick [5]. Organic content was estimated by the amount of organic shaped pores. Identification of organic inclusions was carried out using anatomical description by Martínez-</w:t>
      </w:r>
      <w:proofErr w:type="spellStart"/>
      <w:r w:rsidRPr="00DF1103">
        <w:rPr>
          <w:rFonts w:ascii="Times New Roman" w:eastAsia="Times New Roman" w:hAnsi="Times New Roman" w:cs="Times New Roman"/>
          <w:kern w:val="0"/>
          <w:sz w:val="24"/>
          <w:szCs w:val="24"/>
          <w14:ligatures w14:val="none"/>
        </w:rPr>
        <w:t>Sagarra</w:t>
      </w:r>
      <w:proofErr w:type="spellEnd"/>
      <w:r w:rsidRPr="00DF1103">
        <w:rPr>
          <w:rFonts w:ascii="Times New Roman" w:eastAsia="Times New Roman" w:hAnsi="Times New Roman" w:cs="Times New Roman"/>
          <w:kern w:val="0"/>
          <w:sz w:val="24"/>
          <w:szCs w:val="24"/>
          <w14:ligatures w14:val="none"/>
        </w:rPr>
        <w:t xml:space="preserve"> [6]. SEM images were carried out by JEOL 6490 LV instrument with ED spectrometer LN2-free. XRD analysis was conducted using a Bruker D8 Advance diffractometer at the conventional reflection geometry. Ni-filtered copper radiation (</w:t>
      </w:r>
      <w:proofErr w:type="spellStart"/>
      <w:r w:rsidRPr="00DF1103">
        <w:rPr>
          <w:rFonts w:ascii="Times New Roman" w:eastAsia="Times New Roman" w:hAnsi="Times New Roman" w:cs="Times New Roman"/>
          <w:kern w:val="0"/>
          <w:sz w:val="24"/>
          <w:szCs w:val="24"/>
          <w14:ligatures w14:val="none"/>
        </w:rPr>
        <w:t>λK</w:t>
      </w:r>
      <w:proofErr w:type="spellEnd"/>
      <w:r w:rsidRPr="00DF1103">
        <w:rPr>
          <w:rFonts w:ascii="Times New Roman" w:eastAsia="Times New Roman" w:hAnsi="Times New Roman" w:cs="Times New Roman"/>
          <w:kern w:val="0"/>
          <w:sz w:val="24"/>
          <w:szCs w:val="24"/>
          <w14:ligatures w14:val="none"/>
        </w:rPr>
        <w:t xml:space="preserve">α = 0.15418 nm) was used. The data was processed with the help of the Bruker AXS </w:t>
      </w:r>
      <w:proofErr w:type="spellStart"/>
      <w:r w:rsidRPr="00DF1103">
        <w:rPr>
          <w:rFonts w:ascii="Times New Roman" w:eastAsia="Times New Roman" w:hAnsi="Times New Roman" w:cs="Times New Roman"/>
          <w:kern w:val="0"/>
          <w:sz w:val="24"/>
          <w:szCs w:val="24"/>
          <w14:ligatures w14:val="none"/>
        </w:rPr>
        <w:t>Diffrac</w:t>
      </w:r>
      <w:proofErr w:type="spellEnd"/>
      <w:r w:rsidRPr="00DF1103">
        <w:rPr>
          <w:rFonts w:ascii="Times New Roman" w:eastAsia="Times New Roman" w:hAnsi="Times New Roman" w:cs="Times New Roman"/>
          <w:kern w:val="0"/>
          <w:sz w:val="24"/>
          <w:szCs w:val="24"/>
          <w14:ligatures w14:val="none"/>
        </w:rPr>
        <w:t xml:space="preserve"> plus EVA 2 and Topas 3 software. The quantitative phase analysis was done by the Rietveld method. TOC was determined as the difference between TC and IC (EN 1484) using TOC-V(CPH) with the module TNM-1 and was used to quantify the amount of charred organic matter in samples. Thermal analysis (DSC/TG) was carried out using a </w:t>
      </w:r>
      <w:proofErr w:type="spellStart"/>
      <w:r w:rsidRPr="00DF1103">
        <w:rPr>
          <w:rFonts w:ascii="Times New Roman" w:eastAsia="Times New Roman" w:hAnsi="Times New Roman" w:cs="Times New Roman"/>
          <w:kern w:val="0"/>
          <w:sz w:val="24"/>
          <w:szCs w:val="24"/>
          <w14:ligatures w14:val="none"/>
        </w:rPr>
        <w:t>Setaram</w:t>
      </w:r>
      <w:proofErr w:type="spellEnd"/>
      <w:r w:rsidRPr="00DF1103">
        <w:rPr>
          <w:rFonts w:ascii="Times New Roman" w:eastAsia="Times New Roman" w:hAnsi="Times New Roman" w:cs="Times New Roman"/>
          <w:kern w:val="0"/>
          <w:sz w:val="24"/>
          <w:szCs w:val="24"/>
          <w14:ligatures w14:val="none"/>
        </w:rPr>
        <w:t xml:space="preserve"> </w:t>
      </w:r>
      <w:proofErr w:type="spellStart"/>
      <w:r w:rsidRPr="00DF1103">
        <w:rPr>
          <w:rFonts w:ascii="Times New Roman" w:eastAsia="Times New Roman" w:hAnsi="Times New Roman" w:cs="Times New Roman"/>
          <w:kern w:val="0"/>
          <w:sz w:val="24"/>
          <w:szCs w:val="24"/>
          <w14:ligatures w14:val="none"/>
        </w:rPr>
        <w:t>Setsys</w:t>
      </w:r>
      <w:proofErr w:type="spellEnd"/>
      <w:r w:rsidRPr="00DF1103">
        <w:rPr>
          <w:rFonts w:ascii="Times New Roman" w:eastAsia="Times New Roman" w:hAnsi="Times New Roman" w:cs="Times New Roman"/>
          <w:kern w:val="0"/>
          <w:sz w:val="24"/>
          <w:szCs w:val="24"/>
          <w14:ligatures w14:val="none"/>
        </w:rPr>
        <w:t xml:space="preserve"> Evolution 1750 instrument. The experiment was conducted in a dynamic air atmosphere with a constant heating rate 10 °C/min in the temperature range 40–1000 °C. The acquired data was processed using the </w:t>
      </w:r>
      <w:proofErr w:type="spellStart"/>
      <w:r w:rsidRPr="00DF1103">
        <w:rPr>
          <w:rFonts w:ascii="Times New Roman" w:eastAsia="Times New Roman" w:hAnsi="Times New Roman" w:cs="Times New Roman"/>
          <w:kern w:val="0"/>
          <w:sz w:val="24"/>
          <w:szCs w:val="24"/>
          <w14:ligatures w14:val="none"/>
        </w:rPr>
        <w:t>Setaram</w:t>
      </w:r>
      <w:proofErr w:type="spellEnd"/>
      <w:r w:rsidRPr="00DF1103">
        <w:rPr>
          <w:rFonts w:ascii="Times New Roman" w:eastAsia="Times New Roman" w:hAnsi="Times New Roman" w:cs="Times New Roman"/>
          <w:kern w:val="0"/>
          <w:sz w:val="24"/>
          <w:szCs w:val="24"/>
          <w14:ligatures w14:val="none"/>
        </w:rPr>
        <w:t xml:space="preserve"> Processing software. X-ray computed micro-tomography (</w:t>
      </w:r>
      <w:proofErr w:type="spellStart"/>
      <w:r w:rsidRPr="00DF1103">
        <w:rPr>
          <w:rFonts w:ascii="Times New Roman" w:eastAsia="Times New Roman" w:hAnsi="Times New Roman" w:cs="Times New Roman"/>
          <w:kern w:val="0"/>
          <w:sz w:val="24"/>
          <w:szCs w:val="24"/>
          <w14:ligatures w14:val="none"/>
        </w:rPr>
        <w:t>μCT</w:t>
      </w:r>
      <w:proofErr w:type="spellEnd"/>
      <w:r w:rsidRPr="00DF1103">
        <w:rPr>
          <w:rFonts w:ascii="Times New Roman" w:eastAsia="Times New Roman" w:hAnsi="Times New Roman" w:cs="Times New Roman"/>
          <w:kern w:val="0"/>
          <w:sz w:val="24"/>
          <w:szCs w:val="24"/>
          <w14:ligatures w14:val="none"/>
        </w:rPr>
        <w:t xml:space="preserve">) was used to </w:t>
      </w:r>
      <w:proofErr w:type="spellStart"/>
      <w:r w:rsidRPr="00DF1103">
        <w:rPr>
          <w:rFonts w:ascii="Times New Roman" w:eastAsia="Times New Roman" w:hAnsi="Times New Roman" w:cs="Times New Roman"/>
          <w:kern w:val="0"/>
          <w:sz w:val="24"/>
          <w:szCs w:val="24"/>
          <w14:ligatures w14:val="none"/>
        </w:rPr>
        <w:t>visualise</w:t>
      </w:r>
      <w:proofErr w:type="spellEnd"/>
      <w:r w:rsidRPr="00DF1103">
        <w:rPr>
          <w:rFonts w:ascii="Times New Roman" w:eastAsia="Times New Roman" w:hAnsi="Times New Roman" w:cs="Times New Roman"/>
          <w:kern w:val="0"/>
          <w:sz w:val="24"/>
          <w:szCs w:val="24"/>
          <w14:ligatures w14:val="none"/>
        </w:rPr>
        <w:t xml:space="preserve"> the organic matter and related porosity. The scanning was performed on the laboratory GE Phoenix </w:t>
      </w:r>
      <w:proofErr w:type="spellStart"/>
      <w:r w:rsidRPr="00DF1103">
        <w:rPr>
          <w:rFonts w:ascii="Times New Roman" w:eastAsia="Times New Roman" w:hAnsi="Times New Roman" w:cs="Times New Roman"/>
          <w:kern w:val="0"/>
          <w:sz w:val="24"/>
          <w:szCs w:val="24"/>
          <w14:ligatures w14:val="none"/>
        </w:rPr>
        <w:t>v|tome|x</w:t>
      </w:r>
      <w:proofErr w:type="spellEnd"/>
      <w:r w:rsidRPr="00DF1103">
        <w:rPr>
          <w:rFonts w:ascii="Times New Roman" w:eastAsia="Times New Roman" w:hAnsi="Times New Roman" w:cs="Times New Roman"/>
          <w:kern w:val="0"/>
          <w:sz w:val="24"/>
          <w:szCs w:val="24"/>
          <w14:ligatures w14:val="none"/>
        </w:rPr>
        <w:t xml:space="preserve"> L 240 system. The volume was reconstructed, </w:t>
      </w:r>
      <w:proofErr w:type="spellStart"/>
      <w:r w:rsidRPr="00DF1103">
        <w:rPr>
          <w:rFonts w:ascii="Times New Roman" w:eastAsia="Times New Roman" w:hAnsi="Times New Roman" w:cs="Times New Roman"/>
          <w:kern w:val="0"/>
          <w:sz w:val="24"/>
          <w:szCs w:val="24"/>
          <w14:ligatures w14:val="none"/>
        </w:rPr>
        <w:t>analysed</w:t>
      </w:r>
      <w:proofErr w:type="spellEnd"/>
      <w:r w:rsidRPr="00DF1103">
        <w:rPr>
          <w:rFonts w:ascii="Times New Roman" w:eastAsia="Times New Roman" w:hAnsi="Times New Roman" w:cs="Times New Roman"/>
          <w:kern w:val="0"/>
          <w:sz w:val="24"/>
          <w:szCs w:val="24"/>
          <w14:ligatures w14:val="none"/>
        </w:rPr>
        <w:t xml:space="preserve"> and segmented with </w:t>
      </w:r>
      <w:proofErr w:type="spellStart"/>
      <w:r w:rsidRPr="00DF1103">
        <w:rPr>
          <w:rFonts w:ascii="Times New Roman" w:eastAsia="Times New Roman" w:hAnsi="Times New Roman" w:cs="Times New Roman"/>
          <w:kern w:val="0"/>
          <w:sz w:val="24"/>
          <w:szCs w:val="24"/>
          <w14:ligatures w14:val="none"/>
        </w:rPr>
        <w:t>Datos|x</w:t>
      </w:r>
      <w:proofErr w:type="spellEnd"/>
      <w:r w:rsidRPr="00DF1103">
        <w:rPr>
          <w:rFonts w:ascii="Times New Roman" w:eastAsia="Times New Roman" w:hAnsi="Times New Roman" w:cs="Times New Roman"/>
          <w:kern w:val="0"/>
          <w:sz w:val="24"/>
          <w:szCs w:val="24"/>
          <w14:ligatures w14:val="none"/>
        </w:rPr>
        <w:t xml:space="preserve"> and VG Studio MAX </w:t>
      </w:r>
      <w:proofErr w:type="spellStart"/>
      <w:r w:rsidRPr="00DF1103">
        <w:rPr>
          <w:rFonts w:ascii="Times New Roman" w:eastAsia="Times New Roman" w:hAnsi="Times New Roman" w:cs="Times New Roman"/>
          <w:kern w:val="0"/>
          <w:sz w:val="24"/>
          <w:szCs w:val="24"/>
          <w14:ligatures w14:val="none"/>
        </w:rPr>
        <w:t>softwares</w:t>
      </w:r>
      <w:proofErr w:type="spellEnd"/>
      <w:r w:rsidRPr="00DF1103">
        <w:rPr>
          <w:rFonts w:ascii="Times New Roman" w:eastAsia="Times New Roman" w:hAnsi="Times New Roman" w:cs="Times New Roman"/>
          <w:kern w:val="0"/>
          <w:sz w:val="24"/>
          <w:szCs w:val="24"/>
          <w14:ligatures w14:val="none"/>
        </w:rPr>
        <w:t xml:space="preserve">. We separated the ceramic paste from air and organic matter using the automatic surface determination. We segmented the organic matter from air with a VG Studio porosity module and refined the segmentation using erosion/dilation filtering (+/- 1 pixel) to clean the data from the smaller particles related to noise. A Nikon D750 camera mounted on a stand and a 60-mm lens were used to capture photos of the sherd under various angles. A virtual copy of the fragment was created using the Structure from Motion method (De Reu et al. [7] method) and mounted on a stand. Afterwards we carried out the reconstruction of the shape based on reviews of known pottery forms from contemporary Early Neolithic and Late Mesolithic pottery from the Southeast and East European and Asian regions (e.g. </w:t>
      </w:r>
      <w:proofErr w:type="spellStart"/>
      <w:r w:rsidRPr="00DF1103">
        <w:rPr>
          <w:rFonts w:ascii="Times New Roman" w:eastAsia="Times New Roman" w:hAnsi="Times New Roman" w:cs="Times New Roman"/>
          <w:kern w:val="0"/>
          <w:sz w:val="24"/>
          <w:szCs w:val="24"/>
          <w14:ligatures w14:val="none"/>
        </w:rPr>
        <w:lastRenderedPageBreak/>
        <w:t>Zhushchikhovskaya</w:t>
      </w:r>
      <w:proofErr w:type="spellEnd"/>
      <w:r w:rsidRPr="00DF1103">
        <w:rPr>
          <w:rFonts w:ascii="Times New Roman" w:eastAsia="Times New Roman" w:hAnsi="Times New Roman" w:cs="Times New Roman"/>
          <w:kern w:val="0"/>
          <w:sz w:val="24"/>
          <w:szCs w:val="24"/>
          <w14:ligatures w14:val="none"/>
        </w:rPr>
        <w:t xml:space="preserve"> [8]; </w:t>
      </w:r>
      <w:proofErr w:type="spellStart"/>
      <w:r w:rsidRPr="00DF1103">
        <w:rPr>
          <w:rFonts w:ascii="Times New Roman" w:eastAsia="Times New Roman" w:hAnsi="Times New Roman" w:cs="Times New Roman"/>
          <w:kern w:val="0"/>
          <w:sz w:val="24"/>
          <w:szCs w:val="24"/>
          <w14:ligatures w14:val="none"/>
        </w:rPr>
        <w:t>Mazurkevich</w:t>
      </w:r>
      <w:proofErr w:type="spellEnd"/>
      <w:r w:rsidRPr="00DF1103">
        <w:rPr>
          <w:rFonts w:ascii="Times New Roman" w:eastAsia="Times New Roman" w:hAnsi="Times New Roman" w:cs="Times New Roman"/>
          <w:kern w:val="0"/>
          <w:sz w:val="24"/>
          <w:szCs w:val="24"/>
          <w14:ligatures w14:val="none"/>
        </w:rPr>
        <w:t xml:space="preserve"> &amp; </w:t>
      </w:r>
      <w:proofErr w:type="spellStart"/>
      <w:r w:rsidRPr="00DF1103">
        <w:rPr>
          <w:rFonts w:ascii="Times New Roman" w:eastAsia="Times New Roman" w:hAnsi="Times New Roman" w:cs="Times New Roman"/>
          <w:kern w:val="0"/>
          <w:sz w:val="24"/>
          <w:szCs w:val="24"/>
          <w14:ligatures w14:val="none"/>
        </w:rPr>
        <w:t>Dolbunova</w:t>
      </w:r>
      <w:proofErr w:type="spellEnd"/>
      <w:r w:rsidRPr="00DF1103">
        <w:rPr>
          <w:rFonts w:ascii="Times New Roman" w:eastAsia="Times New Roman" w:hAnsi="Times New Roman" w:cs="Times New Roman"/>
          <w:kern w:val="0"/>
          <w:sz w:val="24"/>
          <w:szCs w:val="24"/>
          <w14:ligatures w14:val="none"/>
        </w:rPr>
        <w:t xml:space="preserve"> [9]; </w:t>
      </w:r>
      <w:proofErr w:type="spellStart"/>
      <w:r w:rsidRPr="00DF1103">
        <w:rPr>
          <w:rFonts w:ascii="Times New Roman" w:eastAsia="Times New Roman" w:hAnsi="Times New Roman" w:cs="Times New Roman"/>
          <w:kern w:val="0"/>
          <w:sz w:val="24"/>
          <w:szCs w:val="24"/>
          <w14:ligatures w14:val="none"/>
        </w:rPr>
        <w:t>Jakucs</w:t>
      </w:r>
      <w:proofErr w:type="spellEnd"/>
      <w:r w:rsidRPr="00DF1103">
        <w:rPr>
          <w:rFonts w:ascii="Times New Roman" w:eastAsia="Times New Roman" w:hAnsi="Times New Roman" w:cs="Times New Roman"/>
          <w:kern w:val="0"/>
          <w:sz w:val="24"/>
          <w:szCs w:val="24"/>
          <w14:ligatures w14:val="none"/>
        </w:rPr>
        <w:t xml:space="preserve"> et al. [10]; Andreev &amp; </w:t>
      </w:r>
      <w:proofErr w:type="spellStart"/>
      <w:r w:rsidRPr="00DF1103">
        <w:rPr>
          <w:rFonts w:ascii="Times New Roman" w:eastAsia="Times New Roman" w:hAnsi="Times New Roman" w:cs="Times New Roman"/>
          <w:kern w:val="0"/>
          <w:sz w:val="24"/>
          <w:szCs w:val="24"/>
          <w14:ligatures w14:val="none"/>
        </w:rPr>
        <w:t>Vybornov</w:t>
      </w:r>
      <w:proofErr w:type="spellEnd"/>
      <w:r w:rsidRPr="00DF1103">
        <w:rPr>
          <w:rFonts w:ascii="Times New Roman" w:eastAsia="Times New Roman" w:hAnsi="Times New Roman" w:cs="Times New Roman"/>
          <w:kern w:val="0"/>
          <w:sz w:val="24"/>
          <w:szCs w:val="24"/>
          <w14:ligatures w14:val="none"/>
        </w:rPr>
        <w:t xml:space="preserve"> [11]). The software processing took place in the </w:t>
      </w:r>
      <w:proofErr w:type="spellStart"/>
      <w:r w:rsidRPr="00DF1103">
        <w:rPr>
          <w:rFonts w:ascii="Times New Roman" w:eastAsia="Times New Roman" w:hAnsi="Times New Roman" w:cs="Times New Roman"/>
          <w:kern w:val="0"/>
          <w:sz w:val="24"/>
          <w:szCs w:val="24"/>
          <w14:ligatures w14:val="none"/>
        </w:rPr>
        <w:t>Agisoft</w:t>
      </w:r>
      <w:proofErr w:type="spellEnd"/>
      <w:r w:rsidRPr="00DF1103">
        <w:rPr>
          <w:rFonts w:ascii="Times New Roman" w:eastAsia="Times New Roman" w:hAnsi="Times New Roman" w:cs="Times New Roman"/>
          <w:kern w:val="0"/>
          <w:sz w:val="24"/>
          <w:szCs w:val="24"/>
          <w14:ligatures w14:val="none"/>
        </w:rPr>
        <w:t xml:space="preserve"> </w:t>
      </w:r>
      <w:proofErr w:type="spellStart"/>
      <w:r w:rsidRPr="00DF1103">
        <w:rPr>
          <w:rFonts w:ascii="Times New Roman" w:eastAsia="Times New Roman" w:hAnsi="Times New Roman" w:cs="Times New Roman"/>
          <w:kern w:val="0"/>
          <w:sz w:val="24"/>
          <w:szCs w:val="24"/>
          <w14:ligatures w14:val="none"/>
        </w:rPr>
        <w:t>Metashape</w:t>
      </w:r>
      <w:proofErr w:type="spellEnd"/>
      <w:r w:rsidRPr="00DF1103">
        <w:rPr>
          <w:rFonts w:ascii="Times New Roman" w:eastAsia="Times New Roman" w:hAnsi="Times New Roman" w:cs="Times New Roman"/>
          <w:kern w:val="0"/>
          <w:sz w:val="24"/>
          <w:szCs w:val="24"/>
          <w14:ligatures w14:val="none"/>
        </w:rPr>
        <w:t xml:space="preserve"> </w:t>
      </w:r>
      <w:proofErr w:type="gramStart"/>
      <w:r w:rsidRPr="00DF1103">
        <w:rPr>
          <w:rFonts w:ascii="Times New Roman" w:eastAsia="Times New Roman" w:hAnsi="Times New Roman" w:cs="Times New Roman"/>
          <w:kern w:val="0"/>
          <w:sz w:val="24"/>
          <w:szCs w:val="24"/>
          <w14:ligatures w14:val="none"/>
        </w:rPr>
        <w:t>software</w:t>
      </w:r>
      <w:proofErr w:type="gramEnd"/>
      <w:r w:rsidRPr="00DF1103">
        <w:rPr>
          <w:rFonts w:ascii="Times New Roman" w:eastAsia="Times New Roman" w:hAnsi="Times New Roman" w:cs="Times New Roman"/>
          <w:kern w:val="0"/>
          <w:sz w:val="24"/>
          <w:szCs w:val="24"/>
          <w14:ligatures w14:val="none"/>
        </w:rPr>
        <w:t xml:space="preserve"> and the Blender software based on the drawing documentation (cf. </w:t>
      </w:r>
      <w:proofErr w:type="spellStart"/>
      <w:r w:rsidRPr="00DF1103">
        <w:rPr>
          <w:rFonts w:ascii="Times New Roman" w:eastAsia="Times New Roman" w:hAnsi="Times New Roman" w:cs="Times New Roman"/>
          <w:kern w:val="0"/>
          <w:sz w:val="24"/>
          <w:szCs w:val="24"/>
          <w14:ligatures w14:val="none"/>
        </w:rPr>
        <w:t>Poigt</w:t>
      </w:r>
      <w:proofErr w:type="spellEnd"/>
      <w:r w:rsidRPr="00DF1103">
        <w:rPr>
          <w:rFonts w:ascii="Times New Roman" w:eastAsia="Times New Roman" w:hAnsi="Times New Roman" w:cs="Times New Roman"/>
          <w:kern w:val="0"/>
          <w:sz w:val="24"/>
          <w:szCs w:val="24"/>
          <w14:ligatures w14:val="none"/>
        </w:rPr>
        <w:t xml:space="preserve"> et al. [12]) and then virtually deformed in this software so that the 3D scan could be spatially settled. The experimental firing took place under field conditions, employing a bonfire firing (Orton et al. [13]) designed </w:t>
      </w:r>
      <w:proofErr w:type="gramStart"/>
      <w:r w:rsidRPr="00DF1103">
        <w:rPr>
          <w:rFonts w:ascii="Times New Roman" w:eastAsia="Times New Roman" w:hAnsi="Times New Roman" w:cs="Times New Roman"/>
          <w:kern w:val="0"/>
          <w:sz w:val="24"/>
          <w:szCs w:val="24"/>
          <w14:ligatures w14:val="none"/>
        </w:rPr>
        <w:t>on the basis of</w:t>
      </w:r>
      <w:proofErr w:type="gramEnd"/>
      <w:r w:rsidRPr="00DF1103">
        <w:rPr>
          <w:rFonts w:ascii="Times New Roman" w:eastAsia="Times New Roman" w:hAnsi="Times New Roman" w:cs="Times New Roman"/>
          <w:kern w:val="0"/>
          <w:sz w:val="24"/>
          <w:szCs w:val="24"/>
          <w14:ligatures w14:val="none"/>
        </w:rPr>
        <w:t xml:space="preserve"> previous experimental firings of </w:t>
      </w:r>
      <w:proofErr w:type="spellStart"/>
      <w:r w:rsidRPr="00DF1103">
        <w:rPr>
          <w:rFonts w:ascii="Times New Roman" w:eastAsia="Times New Roman" w:hAnsi="Times New Roman" w:cs="Times New Roman"/>
          <w:kern w:val="0"/>
          <w:sz w:val="24"/>
          <w:szCs w:val="24"/>
          <w14:ligatures w14:val="none"/>
        </w:rPr>
        <w:t>Thér</w:t>
      </w:r>
      <w:proofErr w:type="spellEnd"/>
      <w:r w:rsidRPr="00DF1103">
        <w:rPr>
          <w:rFonts w:ascii="Times New Roman" w:eastAsia="Times New Roman" w:hAnsi="Times New Roman" w:cs="Times New Roman"/>
          <w:kern w:val="0"/>
          <w:sz w:val="24"/>
          <w:szCs w:val="24"/>
          <w14:ligatures w14:val="none"/>
        </w:rPr>
        <w:t xml:space="preserve"> [14, 15]. Pottery interspersed with wood (spruce and pine chips), were used to replicate the appearance of discovered pottery. These experimental vessels were made from loess clay, heavily tempered with grass. The loess clay was gathered at </w:t>
      </w:r>
      <w:proofErr w:type="spellStart"/>
      <w:r w:rsidRPr="00DF1103">
        <w:rPr>
          <w:rFonts w:ascii="Times New Roman" w:eastAsia="Times New Roman" w:hAnsi="Times New Roman" w:cs="Times New Roman"/>
          <w:kern w:val="0"/>
          <w:sz w:val="24"/>
          <w:szCs w:val="24"/>
          <w14:ligatures w14:val="none"/>
        </w:rPr>
        <w:t>Kalinčiakovo</w:t>
      </w:r>
      <w:proofErr w:type="spellEnd"/>
      <w:r w:rsidRPr="00DF1103">
        <w:rPr>
          <w:rFonts w:ascii="Times New Roman" w:eastAsia="Times New Roman" w:hAnsi="Times New Roman" w:cs="Times New Roman"/>
          <w:kern w:val="0"/>
          <w:sz w:val="24"/>
          <w:szCs w:val="24"/>
          <w14:ligatures w14:val="none"/>
        </w:rPr>
        <w:t xml:space="preserve"> village in the close vicinity of </w:t>
      </w:r>
      <w:proofErr w:type="spellStart"/>
      <w:r w:rsidRPr="00DF1103">
        <w:rPr>
          <w:rFonts w:ascii="Times New Roman" w:eastAsia="Times New Roman" w:hAnsi="Times New Roman" w:cs="Times New Roman"/>
          <w:kern w:val="0"/>
          <w:sz w:val="24"/>
          <w:szCs w:val="24"/>
          <w14:ligatures w14:val="none"/>
        </w:rPr>
        <w:t>Santovka</w:t>
      </w:r>
      <w:proofErr w:type="spellEnd"/>
      <w:r w:rsidRPr="00DF1103">
        <w:rPr>
          <w:rFonts w:ascii="Times New Roman" w:eastAsia="Times New Roman" w:hAnsi="Times New Roman" w:cs="Times New Roman"/>
          <w:kern w:val="0"/>
          <w:sz w:val="24"/>
          <w:szCs w:val="24"/>
          <w14:ligatures w14:val="none"/>
        </w:rPr>
        <w:t xml:space="preserve"> village (N48.1997917, E18.6601175). The grass was cut shorter and mixed into the clay white it was still fresh. The grass temper ratio to clay was 1:2 in volume. The prepared paste was stored for three months. Rather than being formed from coils, they were shaped from whole pieces of clay into a bowl-like form. When the firewood was ignited, it was allowed to burn naturally, without adding more fuel. An infrared thermometer Testo 835-T2 was used to measure the surface temperature of visible vessels. Three samples of pots placed in the centermost section with the supposed lowest availability of oxygen during the experimental firing were used for comparison of organic matter preservation using thin section analysis.</w:t>
      </w:r>
    </w:p>
    <w:p w14:paraId="2B6151CE" w14:textId="77777777" w:rsidR="00DF1103" w:rsidRPr="00DF1103" w:rsidRDefault="00DF1103" w:rsidP="00DF1103">
      <w:pPr>
        <w:spacing w:after="0" w:line="240" w:lineRule="auto"/>
        <w:rPr>
          <w:rFonts w:ascii="Times New Roman" w:eastAsia="Times New Roman" w:hAnsi="Times New Roman" w:cs="Times New Roman"/>
          <w:kern w:val="0"/>
          <w:sz w:val="24"/>
          <w:szCs w:val="24"/>
          <w14:ligatures w14:val="none"/>
        </w:rPr>
      </w:pPr>
      <w:r w:rsidRPr="00DF1103">
        <w:rPr>
          <w:rFonts w:ascii="Times New Roman" w:eastAsia="Times New Roman" w:hAnsi="Times New Roman" w:cs="Times New Roman"/>
          <w:kern w:val="0"/>
          <w:sz w:val="24"/>
          <w:szCs w:val="24"/>
          <w14:ligatures w14:val="none"/>
        </w:rPr>
        <w:pict w14:anchorId="37070F85">
          <v:rect id="_x0000_i1025" style="width:0;height:1.5pt" o:hralign="center" o:hrstd="t" o:hr="t" fillcolor="#a0a0a0" stroked="f"/>
        </w:pict>
      </w:r>
    </w:p>
    <w:p w14:paraId="4F8C19B0" w14:textId="77777777" w:rsidR="00DF1103" w:rsidRPr="00DF1103" w:rsidRDefault="00DF1103" w:rsidP="00DF110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F1103">
        <w:rPr>
          <w:rFonts w:ascii="Times New Roman" w:eastAsia="Times New Roman" w:hAnsi="Times New Roman" w:cs="Times New Roman"/>
          <w:b/>
          <w:bCs/>
          <w:kern w:val="0"/>
          <w:sz w:val="24"/>
          <w:szCs w:val="24"/>
          <w14:ligatures w14:val="none"/>
        </w:rPr>
        <w:t>References</w:t>
      </w:r>
    </w:p>
    <w:p w14:paraId="4CC24436"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F1103">
        <w:rPr>
          <w:rFonts w:ascii="Times New Roman" w:eastAsia="Times New Roman" w:hAnsi="Times New Roman" w:cs="Times New Roman"/>
          <w:kern w:val="0"/>
          <w:sz w:val="24"/>
          <w:szCs w:val="24"/>
          <w14:ligatures w14:val="none"/>
        </w:rPr>
        <w:t xml:space="preserve">Whitbread, I. K. (1986). The characterization of argillaceous inclusions in ceramic thin sections. </w:t>
      </w:r>
      <w:r w:rsidRPr="00DF1103">
        <w:rPr>
          <w:rFonts w:ascii="Times New Roman" w:eastAsia="Times New Roman" w:hAnsi="Times New Roman" w:cs="Times New Roman"/>
          <w:i/>
          <w:iCs/>
          <w:kern w:val="0"/>
          <w:sz w:val="24"/>
          <w:szCs w:val="24"/>
          <w14:ligatures w14:val="none"/>
        </w:rPr>
        <w:t>Archaeometry, 28</w:t>
      </w:r>
      <w:r w:rsidRPr="00DF1103">
        <w:rPr>
          <w:rFonts w:ascii="Times New Roman" w:eastAsia="Times New Roman" w:hAnsi="Times New Roman" w:cs="Times New Roman"/>
          <w:kern w:val="0"/>
          <w:sz w:val="24"/>
          <w:szCs w:val="24"/>
          <w14:ligatures w14:val="none"/>
        </w:rPr>
        <w:t>(1), 79-88. https://doi.org/10.1111/j.1475-4754.1986.tb00371.x</w:t>
      </w:r>
    </w:p>
    <w:p w14:paraId="53BFAC33"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F1103">
        <w:rPr>
          <w:rFonts w:ascii="Times New Roman" w:eastAsia="Times New Roman" w:hAnsi="Times New Roman" w:cs="Times New Roman"/>
          <w:kern w:val="0"/>
          <w:sz w:val="24"/>
          <w:szCs w:val="24"/>
          <w14:ligatures w14:val="none"/>
        </w:rPr>
        <w:t xml:space="preserve">Hunt, A. M. W. (2017). </w:t>
      </w:r>
      <w:r w:rsidRPr="00DF1103">
        <w:rPr>
          <w:rFonts w:ascii="Times New Roman" w:eastAsia="Times New Roman" w:hAnsi="Times New Roman" w:cs="Times New Roman"/>
          <w:i/>
          <w:iCs/>
          <w:kern w:val="0"/>
          <w:sz w:val="24"/>
          <w:szCs w:val="24"/>
          <w14:ligatures w14:val="none"/>
        </w:rPr>
        <w:t>The Oxford Handbook of Archaeological Ceramic Analysis</w:t>
      </w:r>
      <w:r w:rsidRPr="00DF1103">
        <w:rPr>
          <w:rFonts w:ascii="Times New Roman" w:eastAsia="Times New Roman" w:hAnsi="Times New Roman" w:cs="Times New Roman"/>
          <w:kern w:val="0"/>
          <w:sz w:val="24"/>
          <w:szCs w:val="24"/>
          <w14:ligatures w14:val="none"/>
        </w:rPr>
        <w:t>. Oxford University Press.</w:t>
      </w:r>
    </w:p>
    <w:p w14:paraId="7B3DFF88"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F1103">
        <w:rPr>
          <w:rFonts w:ascii="Times New Roman" w:eastAsia="Times New Roman" w:hAnsi="Times New Roman" w:cs="Times New Roman"/>
          <w:kern w:val="0"/>
          <w:sz w:val="24"/>
          <w:szCs w:val="24"/>
          <w14:ligatures w14:val="none"/>
        </w:rPr>
        <w:t xml:space="preserve">Quinn, P. S. (2013). </w:t>
      </w:r>
      <w:r w:rsidRPr="00DF1103">
        <w:rPr>
          <w:rFonts w:ascii="Times New Roman" w:eastAsia="Times New Roman" w:hAnsi="Times New Roman" w:cs="Times New Roman"/>
          <w:i/>
          <w:iCs/>
          <w:kern w:val="0"/>
          <w:sz w:val="24"/>
          <w:szCs w:val="24"/>
          <w14:ligatures w14:val="none"/>
        </w:rPr>
        <w:t>Ceramic Petrography: The Interpretation of Archaeological Pottery &amp; Related Artefacts in Thin Section</w:t>
      </w:r>
      <w:r w:rsidRPr="00DF1103">
        <w:rPr>
          <w:rFonts w:ascii="Times New Roman" w:eastAsia="Times New Roman" w:hAnsi="Times New Roman" w:cs="Times New Roman"/>
          <w:kern w:val="0"/>
          <w:sz w:val="24"/>
          <w:szCs w:val="24"/>
          <w14:ligatures w14:val="none"/>
        </w:rPr>
        <w:t xml:space="preserve">. </w:t>
      </w:r>
      <w:proofErr w:type="spellStart"/>
      <w:r w:rsidRPr="00DF1103">
        <w:rPr>
          <w:rFonts w:ascii="Times New Roman" w:eastAsia="Times New Roman" w:hAnsi="Times New Roman" w:cs="Times New Roman"/>
          <w:kern w:val="0"/>
          <w:sz w:val="24"/>
          <w:szCs w:val="24"/>
          <w14:ligatures w14:val="none"/>
        </w:rPr>
        <w:t>Archaeopress</w:t>
      </w:r>
      <w:proofErr w:type="spellEnd"/>
      <w:r w:rsidRPr="00DF1103">
        <w:rPr>
          <w:rFonts w:ascii="Times New Roman" w:eastAsia="Times New Roman" w:hAnsi="Times New Roman" w:cs="Times New Roman"/>
          <w:kern w:val="0"/>
          <w:sz w:val="24"/>
          <w:szCs w:val="24"/>
          <w14:ligatures w14:val="none"/>
        </w:rPr>
        <w:t>.</w:t>
      </w:r>
    </w:p>
    <w:p w14:paraId="148110E6"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F1103">
        <w:rPr>
          <w:rFonts w:ascii="Times New Roman" w:eastAsia="Times New Roman" w:hAnsi="Times New Roman" w:cs="Times New Roman"/>
          <w:kern w:val="0"/>
          <w:sz w:val="24"/>
          <w:szCs w:val="24"/>
          <w14:ligatures w14:val="none"/>
        </w:rPr>
        <w:t xml:space="preserve">Sauer, R. (2005). Semi-quantitative microscopic analysis. In F. </w:t>
      </w:r>
      <w:proofErr w:type="spellStart"/>
      <w:r w:rsidRPr="00DF1103">
        <w:rPr>
          <w:rFonts w:ascii="Times New Roman" w:eastAsia="Times New Roman" w:hAnsi="Times New Roman" w:cs="Times New Roman"/>
          <w:kern w:val="0"/>
          <w:sz w:val="24"/>
          <w:szCs w:val="24"/>
          <w14:ligatures w14:val="none"/>
        </w:rPr>
        <w:t>Krinzinger</w:t>
      </w:r>
      <w:proofErr w:type="spellEnd"/>
      <w:r w:rsidRPr="00DF1103">
        <w:rPr>
          <w:rFonts w:ascii="Times New Roman" w:eastAsia="Times New Roman" w:hAnsi="Times New Roman" w:cs="Times New Roman"/>
          <w:kern w:val="0"/>
          <w:sz w:val="24"/>
          <w:szCs w:val="24"/>
          <w14:ligatures w14:val="none"/>
        </w:rPr>
        <w:t xml:space="preserve"> (Ed.), </w:t>
      </w:r>
      <w:proofErr w:type="spellStart"/>
      <w:r w:rsidRPr="00DF1103">
        <w:rPr>
          <w:rFonts w:ascii="Times New Roman" w:eastAsia="Times New Roman" w:hAnsi="Times New Roman" w:cs="Times New Roman"/>
          <w:i/>
          <w:iCs/>
          <w:kern w:val="0"/>
          <w:sz w:val="24"/>
          <w:szCs w:val="24"/>
          <w14:ligatures w14:val="none"/>
        </w:rPr>
        <w:t>Spätantike</w:t>
      </w:r>
      <w:proofErr w:type="spellEnd"/>
      <w:r w:rsidRPr="00DF1103">
        <w:rPr>
          <w:rFonts w:ascii="Times New Roman" w:eastAsia="Times New Roman" w:hAnsi="Times New Roman" w:cs="Times New Roman"/>
          <w:i/>
          <w:iCs/>
          <w:kern w:val="0"/>
          <w:sz w:val="24"/>
          <w:szCs w:val="24"/>
          <w14:ligatures w14:val="none"/>
        </w:rPr>
        <w:t xml:space="preserve"> und </w:t>
      </w:r>
      <w:proofErr w:type="spellStart"/>
      <w:r w:rsidRPr="00DF1103">
        <w:rPr>
          <w:rFonts w:ascii="Times New Roman" w:eastAsia="Times New Roman" w:hAnsi="Times New Roman" w:cs="Times New Roman"/>
          <w:i/>
          <w:iCs/>
          <w:kern w:val="0"/>
          <w:sz w:val="24"/>
          <w:szCs w:val="24"/>
          <w14:ligatures w14:val="none"/>
        </w:rPr>
        <w:t>mittelalterliche</w:t>
      </w:r>
      <w:proofErr w:type="spellEnd"/>
      <w:r w:rsidRPr="00DF1103">
        <w:rPr>
          <w:rFonts w:ascii="Times New Roman" w:eastAsia="Times New Roman" w:hAnsi="Times New Roman" w:cs="Times New Roman"/>
          <w:i/>
          <w:iCs/>
          <w:kern w:val="0"/>
          <w:sz w:val="24"/>
          <w:szCs w:val="24"/>
          <w14:ligatures w14:val="none"/>
        </w:rPr>
        <w:t xml:space="preserve"> </w:t>
      </w:r>
      <w:proofErr w:type="spellStart"/>
      <w:r w:rsidRPr="00DF1103">
        <w:rPr>
          <w:rFonts w:ascii="Times New Roman" w:eastAsia="Times New Roman" w:hAnsi="Times New Roman" w:cs="Times New Roman"/>
          <w:i/>
          <w:iCs/>
          <w:kern w:val="0"/>
          <w:sz w:val="24"/>
          <w:szCs w:val="24"/>
          <w14:ligatures w14:val="none"/>
        </w:rPr>
        <w:t>Keramik</w:t>
      </w:r>
      <w:proofErr w:type="spellEnd"/>
      <w:r w:rsidRPr="00DF1103">
        <w:rPr>
          <w:rFonts w:ascii="Times New Roman" w:eastAsia="Times New Roman" w:hAnsi="Times New Roman" w:cs="Times New Roman"/>
          <w:i/>
          <w:iCs/>
          <w:kern w:val="0"/>
          <w:sz w:val="24"/>
          <w:szCs w:val="24"/>
          <w14:ligatures w14:val="none"/>
        </w:rPr>
        <w:t xml:space="preserve"> </w:t>
      </w:r>
      <w:proofErr w:type="spellStart"/>
      <w:r w:rsidRPr="00DF1103">
        <w:rPr>
          <w:rFonts w:ascii="Times New Roman" w:eastAsia="Times New Roman" w:hAnsi="Times New Roman" w:cs="Times New Roman"/>
          <w:i/>
          <w:iCs/>
          <w:kern w:val="0"/>
          <w:sz w:val="24"/>
          <w:szCs w:val="24"/>
          <w14:ligatures w14:val="none"/>
        </w:rPr>
        <w:t>aus</w:t>
      </w:r>
      <w:proofErr w:type="spellEnd"/>
      <w:r w:rsidRPr="00DF1103">
        <w:rPr>
          <w:rFonts w:ascii="Times New Roman" w:eastAsia="Times New Roman" w:hAnsi="Times New Roman" w:cs="Times New Roman"/>
          <w:i/>
          <w:iCs/>
          <w:kern w:val="0"/>
          <w:sz w:val="24"/>
          <w:szCs w:val="24"/>
          <w14:ligatures w14:val="none"/>
        </w:rPr>
        <w:t xml:space="preserve"> </w:t>
      </w:r>
      <w:proofErr w:type="spellStart"/>
      <w:r w:rsidRPr="00DF1103">
        <w:rPr>
          <w:rFonts w:ascii="Times New Roman" w:eastAsia="Times New Roman" w:hAnsi="Times New Roman" w:cs="Times New Roman"/>
          <w:i/>
          <w:iCs/>
          <w:kern w:val="0"/>
          <w:sz w:val="24"/>
          <w:szCs w:val="24"/>
          <w14:ligatures w14:val="none"/>
        </w:rPr>
        <w:t>Ephesos</w:t>
      </w:r>
      <w:proofErr w:type="spellEnd"/>
      <w:r w:rsidRPr="00DF1103">
        <w:rPr>
          <w:rFonts w:ascii="Times New Roman" w:eastAsia="Times New Roman" w:hAnsi="Times New Roman" w:cs="Times New Roman"/>
          <w:kern w:val="0"/>
          <w:sz w:val="24"/>
          <w:szCs w:val="24"/>
          <w14:ligatures w14:val="none"/>
        </w:rPr>
        <w:t xml:space="preserve"> (pp. 51-57). </w:t>
      </w:r>
      <w:proofErr w:type="spellStart"/>
      <w:r w:rsidRPr="00DF1103">
        <w:rPr>
          <w:rFonts w:ascii="Times New Roman" w:eastAsia="Times New Roman" w:hAnsi="Times New Roman" w:cs="Times New Roman"/>
          <w:kern w:val="0"/>
          <w:sz w:val="24"/>
          <w:szCs w:val="24"/>
          <w14:ligatures w14:val="none"/>
        </w:rPr>
        <w:t>Österreichisches</w:t>
      </w:r>
      <w:proofErr w:type="spellEnd"/>
      <w:r w:rsidRPr="00DF1103">
        <w:rPr>
          <w:rFonts w:ascii="Times New Roman" w:eastAsia="Times New Roman" w:hAnsi="Times New Roman" w:cs="Times New Roman"/>
          <w:kern w:val="0"/>
          <w:sz w:val="24"/>
          <w:szCs w:val="24"/>
          <w14:ligatures w14:val="none"/>
        </w:rPr>
        <w:t xml:space="preserve"> </w:t>
      </w:r>
      <w:proofErr w:type="spellStart"/>
      <w:r w:rsidRPr="00DF1103">
        <w:rPr>
          <w:rFonts w:ascii="Times New Roman" w:eastAsia="Times New Roman" w:hAnsi="Times New Roman" w:cs="Times New Roman"/>
          <w:kern w:val="0"/>
          <w:sz w:val="24"/>
          <w:szCs w:val="24"/>
          <w14:ligatures w14:val="none"/>
        </w:rPr>
        <w:t>Archäologisches</w:t>
      </w:r>
      <w:proofErr w:type="spellEnd"/>
      <w:r w:rsidRPr="00DF1103">
        <w:rPr>
          <w:rFonts w:ascii="Times New Roman" w:eastAsia="Times New Roman" w:hAnsi="Times New Roman" w:cs="Times New Roman"/>
          <w:kern w:val="0"/>
          <w:sz w:val="24"/>
          <w:szCs w:val="24"/>
          <w14:ligatures w14:val="none"/>
        </w:rPr>
        <w:t xml:space="preserve"> </w:t>
      </w:r>
      <w:proofErr w:type="spellStart"/>
      <w:r w:rsidRPr="00DF1103">
        <w:rPr>
          <w:rFonts w:ascii="Times New Roman" w:eastAsia="Times New Roman" w:hAnsi="Times New Roman" w:cs="Times New Roman"/>
          <w:kern w:val="0"/>
          <w:sz w:val="24"/>
          <w:szCs w:val="24"/>
          <w14:ligatures w14:val="none"/>
        </w:rPr>
        <w:t>Institut</w:t>
      </w:r>
      <w:proofErr w:type="spellEnd"/>
      <w:r w:rsidRPr="00DF1103">
        <w:rPr>
          <w:rFonts w:ascii="Times New Roman" w:eastAsia="Times New Roman" w:hAnsi="Times New Roman" w:cs="Times New Roman"/>
          <w:kern w:val="0"/>
          <w:sz w:val="24"/>
          <w:szCs w:val="24"/>
          <w14:ligatures w14:val="none"/>
        </w:rPr>
        <w:t>.</w:t>
      </w:r>
    </w:p>
    <w:p w14:paraId="36721136"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F1103">
        <w:rPr>
          <w:rFonts w:ascii="Times New Roman" w:eastAsia="Times New Roman" w:hAnsi="Times New Roman" w:cs="Times New Roman"/>
          <w:kern w:val="0"/>
          <w:sz w:val="24"/>
          <w:szCs w:val="24"/>
          <w14:ligatures w14:val="none"/>
        </w:rPr>
        <w:t xml:space="preserve">Fitzpatrick, E. A. (1984). </w:t>
      </w:r>
      <w:r w:rsidRPr="00DF1103">
        <w:rPr>
          <w:rFonts w:ascii="Times New Roman" w:eastAsia="Times New Roman" w:hAnsi="Times New Roman" w:cs="Times New Roman"/>
          <w:i/>
          <w:iCs/>
          <w:kern w:val="0"/>
          <w:sz w:val="24"/>
          <w:szCs w:val="24"/>
          <w14:ligatures w14:val="none"/>
        </w:rPr>
        <w:t>Micromorphology of Soils</w:t>
      </w:r>
      <w:r w:rsidRPr="00DF1103">
        <w:rPr>
          <w:rFonts w:ascii="Times New Roman" w:eastAsia="Times New Roman" w:hAnsi="Times New Roman" w:cs="Times New Roman"/>
          <w:kern w:val="0"/>
          <w:sz w:val="24"/>
          <w:szCs w:val="24"/>
          <w14:ligatures w14:val="none"/>
        </w:rPr>
        <w:t>. Chapman and Hall.</w:t>
      </w:r>
    </w:p>
    <w:p w14:paraId="510B0D4C"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F1103">
        <w:rPr>
          <w:rFonts w:ascii="Times New Roman" w:eastAsia="Times New Roman" w:hAnsi="Times New Roman" w:cs="Times New Roman"/>
          <w:kern w:val="0"/>
          <w:sz w:val="24"/>
          <w:szCs w:val="24"/>
          <w14:ligatures w14:val="none"/>
        </w:rPr>
        <w:t>Martínez-</w:t>
      </w:r>
      <w:proofErr w:type="spellStart"/>
      <w:r w:rsidRPr="00DF1103">
        <w:rPr>
          <w:rFonts w:ascii="Times New Roman" w:eastAsia="Times New Roman" w:hAnsi="Times New Roman" w:cs="Times New Roman"/>
          <w:kern w:val="0"/>
          <w:sz w:val="24"/>
          <w:szCs w:val="24"/>
          <w14:ligatures w14:val="none"/>
        </w:rPr>
        <w:t>Sagarra</w:t>
      </w:r>
      <w:proofErr w:type="spellEnd"/>
      <w:r w:rsidRPr="00DF1103">
        <w:rPr>
          <w:rFonts w:ascii="Times New Roman" w:eastAsia="Times New Roman" w:hAnsi="Times New Roman" w:cs="Times New Roman"/>
          <w:kern w:val="0"/>
          <w:sz w:val="24"/>
          <w:szCs w:val="24"/>
          <w14:ligatures w14:val="none"/>
        </w:rPr>
        <w:t>, G. (2017). Study of the leaf anatomy in cross section in the Iberian species of Festuca L. (</w:t>
      </w:r>
      <w:proofErr w:type="spellStart"/>
      <w:r w:rsidRPr="00DF1103">
        <w:rPr>
          <w:rFonts w:ascii="Times New Roman" w:eastAsia="Times New Roman" w:hAnsi="Times New Roman" w:cs="Times New Roman"/>
          <w:kern w:val="0"/>
          <w:sz w:val="24"/>
          <w:szCs w:val="24"/>
          <w14:ligatures w14:val="none"/>
        </w:rPr>
        <w:t>Poaceae</w:t>
      </w:r>
      <w:proofErr w:type="spellEnd"/>
      <w:r w:rsidRPr="00DF1103">
        <w:rPr>
          <w:rFonts w:ascii="Times New Roman" w:eastAsia="Times New Roman" w:hAnsi="Times New Roman" w:cs="Times New Roman"/>
          <w:kern w:val="0"/>
          <w:sz w:val="24"/>
          <w:szCs w:val="24"/>
          <w14:ligatures w14:val="none"/>
        </w:rPr>
        <w:t xml:space="preserve">) and its systematic significance. </w:t>
      </w:r>
      <w:proofErr w:type="spellStart"/>
      <w:r w:rsidRPr="00DF1103">
        <w:rPr>
          <w:rFonts w:ascii="Times New Roman" w:eastAsia="Times New Roman" w:hAnsi="Times New Roman" w:cs="Times New Roman"/>
          <w:i/>
          <w:iCs/>
          <w:kern w:val="0"/>
          <w:sz w:val="24"/>
          <w:szCs w:val="24"/>
          <w14:ligatures w14:val="none"/>
        </w:rPr>
        <w:t>PhytoKeys</w:t>
      </w:r>
      <w:proofErr w:type="spellEnd"/>
      <w:r w:rsidRPr="00DF1103">
        <w:rPr>
          <w:rFonts w:ascii="Times New Roman" w:eastAsia="Times New Roman" w:hAnsi="Times New Roman" w:cs="Times New Roman"/>
          <w:i/>
          <w:iCs/>
          <w:kern w:val="0"/>
          <w:sz w:val="24"/>
          <w:szCs w:val="24"/>
          <w14:ligatures w14:val="none"/>
        </w:rPr>
        <w:t>, 83</w:t>
      </w:r>
      <w:r w:rsidRPr="00DF1103">
        <w:rPr>
          <w:rFonts w:ascii="Times New Roman" w:eastAsia="Times New Roman" w:hAnsi="Times New Roman" w:cs="Times New Roman"/>
          <w:kern w:val="0"/>
          <w:sz w:val="24"/>
          <w:szCs w:val="24"/>
          <w14:ligatures w14:val="none"/>
        </w:rPr>
        <w:t xml:space="preserve">, 43-74. </w:t>
      </w:r>
      <w:hyperlink r:id="rId5" w:tgtFrame="_new" w:history="1">
        <w:r w:rsidRPr="00DF1103">
          <w:rPr>
            <w:rFonts w:ascii="Times New Roman" w:eastAsia="Times New Roman" w:hAnsi="Times New Roman" w:cs="Times New Roman"/>
            <w:color w:val="0000FF"/>
            <w:kern w:val="0"/>
            <w:sz w:val="24"/>
            <w:szCs w:val="24"/>
            <w:u w:val="single"/>
            <w14:ligatures w14:val="none"/>
          </w:rPr>
          <w:t>https://doi.org/10.3897/phytokeys.83.13746</w:t>
        </w:r>
      </w:hyperlink>
    </w:p>
    <w:p w14:paraId="3009FDCB"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F1103">
        <w:rPr>
          <w:rFonts w:ascii="Times New Roman" w:eastAsia="Times New Roman" w:hAnsi="Times New Roman" w:cs="Times New Roman"/>
          <w:kern w:val="0"/>
          <w:sz w:val="24"/>
          <w:szCs w:val="24"/>
          <w14:ligatures w14:val="none"/>
        </w:rPr>
        <w:t xml:space="preserve">De Reu, J., De Smedt, P., </w:t>
      </w:r>
      <w:proofErr w:type="spellStart"/>
      <w:r w:rsidRPr="00DF1103">
        <w:rPr>
          <w:rFonts w:ascii="Times New Roman" w:eastAsia="Times New Roman" w:hAnsi="Times New Roman" w:cs="Times New Roman"/>
          <w:kern w:val="0"/>
          <w:sz w:val="24"/>
          <w:szCs w:val="24"/>
          <w14:ligatures w14:val="none"/>
        </w:rPr>
        <w:t>Herremans</w:t>
      </w:r>
      <w:proofErr w:type="spellEnd"/>
      <w:r w:rsidRPr="00DF1103">
        <w:rPr>
          <w:rFonts w:ascii="Times New Roman" w:eastAsia="Times New Roman" w:hAnsi="Times New Roman" w:cs="Times New Roman"/>
          <w:kern w:val="0"/>
          <w:sz w:val="24"/>
          <w:szCs w:val="24"/>
          <w14:ligatures w14:val="none"/>
        </w:rPr>
        <w:t xml:space="preserve">, D., Van </w:t>
      </w:r>
      <w:proofErr w:type="spellStart"/>
      <w:r w:rsidRPr="00DF1103">
        <w:rPr>
          <w:rFonts w:ascii="Times New Roman" w:eastAsia="Times New Roman" w:hAnsi="Times New Roman" w:cs="Times New Roman"/>
          <w:kern w:val="0"/>
          <w:sz w:val="24"/>
          <w:szCs w:val="24"/>
          <w14:ligatures w14:val="none"/>
        </w:rPr>
        <w:t>Meirvenne</w:t>
      </w:r>
      <w:proofErr w:type="spellEnd"/>
      <w:r w:rsidRPr="00DF1103">
        <w:rPr>
          <w:rFonts w:ascii="Times New Roman" w:eastAsia="Times New Roman" w:hAnsi="Times New Roman" w:cs="Times New Roman"/>
          <w:kern w:val="0"/>
          <w:sz w:val="24"/>
          <w:szCs w:val="24"/>
          <w14:ligatures w14:val="none"/>
        </w:rPr>
        <w:t xml:space="preserve">, M., Laloo, P., &amp; De Clercq, W. (2014). On introducing an image-based 3D reconstruction method in archaeological excavation practice. </w:t>
      </w:r>
      <w:r w:rsidRPr="00DF1103">
        <w:rPr>
          <w:rFonts w:ascii="Times New Roman" w:eastAsia="Times New Roman" w:hAnsi="Times New Roman" w:cs="Times New Roman"/>
          <w:i/>
          <w:iCs/>
          <w:kern w:val="0"/>
          <w:sz w:val="24"/>
          <w:szCs w:val="24"/>
          <w14:ligatures w14:val="none"/>
        </w:rPr>
        <w:t>Journal of Archaeological Science, 41</w:t>
      </w:r>
      <w:r w:rsidRPr="00DF1103">
        <w:rPr>
          <w:rFonts w:ascii="Times New Roman" w:eastAsia="Times New Roman" w:hAnsi="Times New Roman" w:cs="Times New Roman"/>
          <w:kern w:val="0"/>
          <w:sz w:val="24"/>
          <w:szCs w:val="24"/>
          <w14:ligatures w14:val="none"/>
        </w:rPr>
        <w:t>, 251-262. https://doi.org/10.1016/j.jas.2013.08.020</w:t>
      </w:r>
    </w:p>
    <w:p w14:paraId="0A5A1EC7"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DF1103">
        <w:rPr>
          <w:rFonts w:ascii="Times New Roman" w:eastAsia="Times New Roman" w:hAnsi="Times New Roman" w:cs="Times New Roman"/>
          <w:kern w:val="0"/>
          <w:sz w:val="24"/>
          <w:szCs w:val="24"/>
          <w14:ligatures w14:val="none"/>
        </w:rPr>
        <w:t>Zhushchikhovskaya</w:t>
      </w:r>
      <w:proofErr w:type="spellEnd"/>
      <w:r w:rsidRPr="00DF1103">
        <w:rPr>
          <w:rFonts w:ascii="Times New Roman" w:eastAsia="Times New Roman" w:hAnsi="Times New Roman" w:cs="Times New Roman"/>
          <w:kern w:val="0"/>
          <w:sz w:val="24"/>
          <w:szCs w:val="24"/>
          <w14:ligatures w14:val="none"/>
        </w:rPr>
        <w:t xml:space="preserve">, I. S. (2009). Pottery Making in Prehistoric Cultures of the Russian Far East. In P. Jordan &amp; M. </w:t>
      </w:r>
      <w:proofErr w:type="spellStart"/>
      <w:r w:rsidRPr="00DF1103">
        <w:rPr>
          <w:rFonts w:ascii="Times New Roman" w:eastAsia="Times New Roman" w:hAnsi="Times New Roman" w:cs="Times New Roman"/>
          <w:kern w:val="0"/>
          <w:sz w:val="24"/>
          <w:szCs w:val="24"/>
          <w14:ligatures w14:val="none"/>
        </w:rPr>
        <w:t>Zvelebil</w:t>
      </w:r>
      <w:proofErr w:type="spellEnd"/>
      <w:r w:rsidRPr="00DF1103">
        <w:rPr>
          <w:rFonts w:ascii="Times New Roman" w:eastAsia="Times New Roman" w:hAnsi="Times New Roman" w:cs="Times New Roman"/>
          <w:kern w:val="0"/>
          <w:sz w:val="24"/>
          <w:szCs w:val="24"/>
          <w14:ligatures w14:val="none"/>
        </w:rPr>
        <w:t xml:space="preserve"> (Eds.), </w:t>
      </w:r>
      <w:r w:rsidRPr="00DF1103">
        <w:rPr>
          <w:rFonts w:ascii="Times New Roman" w:eastAsia="Times New Roman" w:hAnsi="Times New Roman" w:cs="Times New Roman"/>
          <w:i/>
          <w:iCs/>
          <w:kern w:val="0"/>
          <w:sz w:val="24"/>
          <w:szCs w:val="24"/>
          <w14:ligatures w14:val="none"/>
        </w:rPr>
        <w:t>Ceramics Before Farming: The Dispersal of Pottery Among Prehistoric Eurasian Hunter-Gatherers</w:t>
      </w:r>
      <w:r w:rsidRPr="00DF1103">
        <w:rPr>
          <w:rFonts w:ascii="Times New Roman" w:eastAsia="Times New Roman" w:hAnsi="Times New Roman" w:cs="Times New Roman"/>
          <w:kern w:val="0"/>
          <w:sz w:val="24"/>
          <w:szCs w:val="24"/>
          <w14:ligatures w14:val="none"/>
        </w:rPr>
        <w:t xml:space="preserve"> (pp. 121-148). Left Coast Press.</w:t>
      </w:r>
    </w:p>
    <w:p w14:paraId="3E5B7D74"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DF1103">
        <w:rPr>
          <w:rFonts w:ascii="Times New Roman" w:eastAsia="Times New Roman" w:hAnsi="Times New Roman" w:cs="Times New Roman"/>
          <w:kern w:val="0"/>
          <w:sz w:val="24"/>
          <w:szCs w:val="24"/>
          <w14:ligatures w14:val="none"/>
        </w:rPr>
        <w:t>Mazurkevich</w:t>
      </w:r>
      <w:proofErr w:type="spellEnd"/>
      <w:r w:rsidRPr="00DF1103">
        <w:rPr>
          <w:rFonts w:ascii="Times New Roman" w:eastAsia="Times New Roman" w:hAnsi="Times New Roman" w:cs="Times New Roman"/>
          <w:kern w:val="0"/>
          <w:sz w:val="24"/>
          <w:szCs w:val="24"/>
          <w14:ligatures w14:val="none"/>
        </w:rPr>
        <w:t xml:space="preserve">, A., &amp; </w:t>
      </w:r>
      <w:proofErr w:type="spellStart"/>
      <w:r w:rsidRPr="00DF1103">
        <w:rPr>
          <w:rFonts w:ascii="Times New Roman" w:eastAsia="Times New Roman" w:hAnsi="Times New Roman" w:cs="Times New Roman"/>
          <w:kern w:val="0"/>
          <w:sz w:val="24"/>
          <w:szCs w:val="24"/>
          <w14:ligatures w14:val="none"/>
        </w:rPr>
        <w:t>Dolbunova</w:t>
      </w:r>
      <w:proofErr w:type="spellEnd"/>
      <w:r w:rsidRPr="00DF1103">
        <w:rPr>
          <w:rFonts w:ascii="Times New Roman" w:eastAsia="Times New Roman" w:hAnsi="Times New Roman" w:cs="Times New Roman"/>
          <w:kern w:val="0"/>
          <w:sz w:val="24"/>
          <w:szCs w:val="24"/>
          <w14:ligatures w14:val="none"/>
        </w:rPr>
        <w:t xml:space="preserve">, E. (2015). The oldest pottery in hunter-gatherer communities and models of </w:t>
      </w:r>
      <w:proofErr w:type="spellStart"/>
      <w:r w:rsidRPr="00DF1103">
        <w:rPr>
          <w:rFonts w:ascii="Times New Roman" w:eastAsia="Times New Roman" w:hAnsi="Times New Roman" w:cs="Times New Roman"/>
          <w:kern w:val="0"/>
          <w:sz w:val="24"/>
          <w:szCs w:val="24"/>
          <w14:ligatures w14:val="none"/>
        </w:rPr>
        <w:t>Neolithisation</w:t>
      </w:r>
      <w:proofErr w:type="spellEnd"/>
      <w:r w:rsidRPr="00DF1103">
        <w:rPr>
          <w:rFonts w:ascii="Times New Roman" w:eastAsia="Times New Roman" w:hAnsi="Times New Roman" w:cs="Times New Roman"/>
          <w:kern w:val="0"/>
          <w:sz w:val="24"/>
          <w:szCs w:val="24"/>
          <w14:ligatures w14:val="none"/>
        </w:rPr>
        <w:t xml:space="preserve"> of Eastern Europe. </w:t>
      </w:r>
      <w:proofErr w:type="spellStart"/>
      <w:r w:rsidRPr="00DF1103">
        <w:rPr>
          <w:rFonts w:ascii="Times New Roman" w:eastAsia="Times New Roman" w:hAnsi="Times New Roman" w:cs="Times New Roman"/>
          <w:i/>
          <w:iCs/>
          <w:kern w:val="0"/>
          <w:sz w:val="24"/>
          <w:szCs w:val="24"/>
          <w14:ligatures w14:val="none"/>
        </w:rPr>
        <w:t>Documenta</w:t>
      </w:r>
      <w:proofErr w:type="spellEnd"/>
      <w:r w:rsidRPr="00DF1103">
        <w:rPr>
          <w:rFonts w:ascii="Times New Roman" w:eastAsia="Times New Roman" w:hAnsi="Times New Roman" w:cs="Times New Roman"/>
          <w:i/>
          <w:iCs/>
          <w:kern w:val="0"/>
          <w:sz w:val="24"/>
          <w:szCs w:val="24"/>
          <w14:ligatures w14:val="none"/>
        </w:rPr>
        <w:t xml:space="preserve"> </w:t>
      </w:r>
      <w:proofErr w:type="spellStart"/>
      <w:r w:rsidRPr="00DF1103">
        <w:rPr>
          <w:rFonts w:ascii="Times New Roman" w:eastAsia="Times New Roman" w:hAnsi="Times New Roman" w:cs="Times New Roman"/>
          <w:i/>
          <w:iCs/>
          <w:kern w:val="0"/>
          <w:sz w:val="24"/>
          <w:szCs w:val="24"/>
          <w14:ligatures w14:val="none"/>
        </w:rPr>
        <w:t>Praehistorica</w:t>
      </w:r>
      <w:proofErr w:type="spellEnd"/>
      <w:r w:rsidRPr="00DF1103">
        <w:rPr>
          <w:rFonts w:ascii="Times New Roman" w:eastAsia="Times New Roman" w:hAnsi="Times New Roman" w:cs="Times New Roman"/>
          <w:i/>
          <w:iCs/>
          <w:kern w:val="0"/>
          <w:sz w:val="24"/>
          <w:szCs w:val="24"/>
          <w14:ligatures w14:val="none"/>
        </w:rPr>
        <w:t>, 42</w:t>
      </w:r>
      <w:r w:rsidRPr="00DF1103">
        <w:rPr>
          <w:rFonts w:ascii="Times New Roman" w:eastAsia="Times New Roman" w:hAnsi="Times New Roman" w:cs="Times New Roman"/>
          <w:kern w:val="0"/>
          <w:sz w:val="24"/>
          <w:szCs w:val="24"/>
          <w14:ligatures w14:val="none"/>
        </w:rPr>
        <w:t>, 13-66. https://doi.org/10.4312/dp.42.1</w:t>
      </w:r>
    </w:p>
    <w:p w14:paraId="56E897B7"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DF1103">
        <w:rPr>
          <w:rFonts w:ascii="Times New Roman" w:eastAsia="Times New Roman" w:hAnsi="Times New Roman" w:cs="Times New Roman"/>
          <w:kern w:val="0"/>
          <w:sz w:val="24"/>
          <w:szCs w:val="24"/>
          <w14:ligatures w14:val="none"/>
        </w:rPr>
        <w:lastRenderedPageBreak/>
        <w:t>Jakucs</w:t>
      </w:r>
      <w:proofErr w:type="spellEnd"/>
      <w:r w:rsidRPr="00DF1103">
        <w:rPr>
          <w:rFonts w:ascii="Times New Roman" w:eastAsia="Times New Roman" w:hAnsi="Times New Roman" w:cs="Times New Roman"/>
          <w:kern w:val="0"/>
          <w:sz w:val="24"/>
          <w:szCs w:val="24"/>
          <w14:ligatures w14:val="none"/>
        </w:rPr>
        <w:t xml:space="preserve">, J., Oross, K., Bánffy, E., </w:t>
      </w:r>
      <w:proofErr w:type="spellStart"/>
      <w:r w:rsidRPr="00DF1103">
        <w:rPr>
          <w:rFonts w:ascii="Times New Roman" w:eastAsia="Times New Roman" w:hAnsi="Times New Roman" w:cs="Times New Roman"/>
          <w:kern w:val="0"/>
          <w:sz w:val="24"/>
          <w:szCs w:val="24"/>
          <w14:ligatures w14:val="none"/>
        </w:rPr>
        <w:t>Voicsek</w:t>
      </w:r>
      <w:proofErr w:type="spellEnd"/>
      <w:r w:rsidRPr="00DF1103">
        <w:rPr>
          <w:rFonts w:ascii="Times New Roman" w:eastAsia="Times New Roman" w:hAnsi="Times New Roman" w:cs="Times New Roman"/>
          <w:kern w:val="0"/>
          <w:sz w:val="24"/>
          <w:szCs w:val="24"/>
          <w14:ligatures w14:val="none"/>
        </w:rPr>
        <w:t xml:space="preserve">, V., Dunbar, E., Reimer, P., ... &amp; Whittle, A. (2018). Rows with the </w:t>
      </w:r>
      <w:proofErr w:type="spellStart"/>
      <w:r w:rsidRPr="00DF1103">
        <w:rPr>
          <w:rFonts w:ascii="Times New Roman" w:eastAsia="Times New Roman" w:hAnsi="Times New Roman" w:cs="Times New Roman"/>
          <w:kern w:val="0"/>
          <w:sz w:val="24"/>
          <w:szCs w:val="24"/>
          <w14:ligatures w14:val="none"/>
        </w:rPr>
        <w:t>neighbours</w:t>
      </w:r>
      <w:proofErr w:type="spellEnd"/>
      <w:r w:rsidRPr="00DF1103">
        <w:rPr>
          <w:rFonts w:ascii="Times New Roman" w:eastAsia="Times New Roman" w:hAnsi="Times New Roman" w:cs="Times New Roman"/>
          <w:kern w:val="0"/>
          <w:sz w:val="24"/>
          <w:szCs w:val="24"/>
          <w14:ligatures w14:val="none"/>
        </w:rPr>
        <w:t xml:space="preserve">: The short lives of longhouses at the Neolithic site of </w:t>
      </w:r>
      <w:proofErr w:type="spellStart"/>
      <w:r w:rsidRPr="00DF1103">
        <w:rPr>
          <w:rFonts w:ascii="Times New Roman" w:eastAsia="Times New Roman" w:hAnsi="Times New Roman" w:cs="Times New Roman"/>
          <w:kern w:val="0"/>
          <w:sz w:val="24"/>
          <w:szCs w:val="24"/>
          <w14:ligatures w14:val="none"/>
        </w:rPr>
        <w:t>Versend-Gilencsa</w:t>
      </w:r>
      <w:proofErr w:type="spellEnd"/>
      <w:r w:rsidRPr="00DF1103">
        <w:rPr>
          <w:rFonts w:ascii="Times New Roman" w:eastAsia="Times New Roman" w:hAnsi="Times New Roman" w:cs="Times New Roman"/>
          <w:kern w:val="0"/>
          <w:sz w:val="24"/>
          <w:szCs w:val="24"/>
          <w14:ligatures w14:val="none"/>
        </w:rPr>
        <w:t xml:space="preserve">. </w:t>
      </w:r>
      <w:r w:rsidRPr="00DF1103">
        <w:rPr>
          <w:rFonts w:ascii="Times New Roman" w:eastAsia="Times New Roman" w:hAnsi="Times New Roman" w:cs="Times New Roman"/>
          <w:i/>
          <w:iCs/>
          <w:kern w:val="0"/>
          <w:sz w:val="24"/>
          <w:szCs w:val="24"/>
          <w14:ligatures w14:val="none"/>
        </w:rPr>
        <w:t>Antiquity, 92</w:t>
      </w:r>
      <w:r w:rsidRPr="00DF1103">
        <w:rPr>
          <w:rFonts w:ascii="Times New Roman" w:eastAsia="Times New Roman" w:hAnsi="Times New Roman" w:cs="Times New Roman"/>
          <w:kern w:val="0"/>
          <w:sz w:val="24"/>
          <w:szCs w:val="24"/>
          <w14:ligatures w14:val="none"/>
        </w:rPr>
        <w:t>(361), 91-117. https://doi.org/10.15184/aqy.2017.218</w:t>
      </w:r>
    </w:p>
    <w:p w14:paraId="341139BF"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F1103">
        <w:rPr>
          <w:rFonts w:ascii="Times New Roman" w:eastAsia="Times New Roman" w:hAnsi="Times New Roman" w:cs="Times New Roman"/>
          <w:kern w:val="0"/>
          <w:sz w:val="24"/>
          <w:szCs w:val="24"/>
          <w14:ligatures w14:val="none"/>
        </w:rPr>
        <w:t xml:space="preserve">Andreev, K. M., &amp; </w:t>
      </w:r>
      <w:proofErr w:type="spellStart"/>
      <w:r w:rsidRPr="00DF1103">
        <w:rPr>
          <w:rFonts w:ascii="Times New Roman" w:eastAsia="Times New Roman" w:hAnsi="Times New Roman" w:cs="Times New Roman"/>
          <w:kern w:val="0"/>
          <w:sz w:val="24"/>
          <w:szCs w:val="24"/>
          <w14:ligatures w14:val="none"/>
        </w:rPr>
        <w:t>Vybornov</w:t>
      </w:r>
      <w:proofErr w:type="spellEnd"/>
      <w:r w:rsidRPr="00DF1103">
        <w:rPr>
          <w:rFonts w:ascii="Times New Roman" w:eastAsia="Times New Roman" w:hAnsi="Times New Roman" w:cs="Times New Roman"/>
          <w:kern w:val="0"/>
          <w:sz w:val="24"/>
          <w:szCs w:val="24"/>
          <w14:ligatures w14:val="none"/>
        </w:rPr>
        <w:t xml:space="preserve">, A. A. (2021). Ceramic traditions in the forest-steppe zone of Eastern Europe. </w:t>
      </w:r>
      <w:r w:rsidRPr="00DF1103">
        <w:rPr>
          <w:rFonts w:ascii="Times New Roman" w:eastAsia="Times New Roman" w:hAnsi="Times New Roman" w:cs="Times New Roman"/>
          <w:i/>
          <w:iCs/>
          <w:kern w:val="0"/>
          <w:sz w:val="24"/>
          <w:szCs w:val="24"/>
          <w14:ligatures w14:val="none"/>
        </w:rPr>
        <w:t>Open Archaeology, 7</w:t>
      </w:r>
      <w:r w:rsidRPr="00DF1103">
        <w:rPr>
          <w:rFonts w:ascii="Times New Roman" w:eastAsia="Times New Roman" w:hAnsi="Times New Roman" w:cs="Times New Roman"/>
          <w:kern w:val="0"/>
          <w:sz w:val="24"/>
          <w:szCs w:val="24"/>
          <w14:ligatures w14:val="none"/>
        </w:rPr>
        <w:t>(1), 705-717. https://doi.org/10.1515/opar-2020-0195</w:t>
      </w:r>
    </w:p>
    <w:p w14:paraId="13E12E4E"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DF1103">
        <w:rPr>
          <w:rFonts w:ascii="Times New Roman" w:eastAsia="Times New Roman" w:hAnsi="Times New Roman" w:cs="Times New Roman"/>
          <w:kern w:val="0"/>
          <w:sz w:val="24"/>
          <w:szCs w:val="24"/>
          <w14:ligatures w14:val="none"/>
        </w:rPr>
        <w:t>Poigt</w:t>
      </w:r>
      <w:proofErr w:type="spellEnd"/>
      <w:r w:rsidRPr="00DF1103">
        <w:rPr>
          <w:rFonts w:ascii="Times New Roman" w:eastAsia="Times New Roman" w:hAnsi="Times New Roman" w:cs="Times New Roman"/>
          <w:kern w:val="0"/>
          <w:sz w:val="24"/>
          <w:szCs w:val="24"/>
          <w14:ligatures w14:val="none"/>
        </w:rPr>
        <w:t xml:space="preserve">, T., Comte, F., &amp; Adam, L. (2021). How accurate was Bronze Age weighing in Western Europe? </w:t>
      </w:r>
      <w:r w:rsidRPr="00DF1103">
        <w:rPr>
          <w:rFonts w:ascii="Times New Roman" w:eastAsia="Times New Roman" w:hAnsi="Times New Roman" w:cs="Times New Roman"/>
          <w:i/>
          <w:iCs/>
          <w:kern w:val="0"/>
          <w:sz w:val="24"/>
          <w:szCs w:val="24"/>
          <w14:ligatures w14:val="none"/>
        </w:rPr>
        <w:t>Journal of Archaeological Science: Reports, 40</w:t>
      </w:r>
      <w:r w:rsidRPr="00DF1103">
        <w:rPr>
          <w:rFonts w:ascii="Times New Roman" w:eastAsia="Times New Roman" w:hAnsi="Times New Roman" w:cs="Times New Roman"/>
          <w:kern w:val="0"/>
          <w:sz w:val="24"/>
          <w:szCs w:val="24"/>
          <w14:ligatures w14:val="none"/>
        </w:rPr>
        <w:t>, 103221. https://doi.org/10.1016/j.jasrep.2021.103221</w:t>
      </w:r>
    </w:p>
    <w:p w14:paraId="40BA189D"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F1103">
        <w:rPr>
          <w:rFonts w:ascii="Times New Roman" w:eastAsia="Times New Roman" w:hAnsi="Times New Roman" w:cs="Times New Roman"/>
          <w:kern w:val="0"/>
          <w:sz w:val="24"/>
          <w:szCs w:val="24"/>
          <w14:ligatures w14:val="none"/>
        </w:rPr>
        <w:t xml:space="preserve">Orton, C., Tyers, P., &amp; Vince, A. (1993). </w:t>
      </w:r>
      <w:r w:rsidRPr="00DF1103">
        <w:rPr>
          <w:rFonts w:ascii="Times New Roman" w:eastAsia="Times New Roman" w:hAnsi="Times New Roman" w:cs="Times New Roman"/>
          <w:i/>
          <w:iCs/>
          <w:kern w:val="0"/>
          <w:sz w:val="24"/>
          <w:szCs w:val="24"/>
          <w14:ligatures w14:val="none"/>
        </w:rPr>
        <w:t>Pottery in Archaeology</w:t>
      </w:r>
      <w:r w:rsidRPr="00DF1103">
        <w:rPr>
          <w:rFonts w:ascii="Times New Roman" w:eastAsia="Times New Roman" w:hAnsi="Times New Roman" w:cs="Times New Roman"/>
          <w:kern w:val="0"/>
          <w:sz w:val="24"/>
          <w:szCs w:val="24"/>
          <w14:ligatures w14:val="none"/>
        </w:rPr>
        <w:t>. Cambridge University Press.</w:t>
      </w:r>
    </w:p>
    <w:p w14:paraId="3E4F144E"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DF1103">
        <w:rPr>
          <w:rFonts w:ascii="Times New Roman" w:eastAsia="Times New Roman" w:hAnsi="Times New Roman" w:cs="Times New Roman"/>
          <w:kern w:val="0"/>
          <w:sz w:val="24"/>
          <w:szCs w:val="24"/>
          <w14:ligatures w14:val="none"/>
        </w:rPr>
        <w:t>Thér</w:t>
      </w:r>
      <w:proofErr w:type="spellEnd"/>
      <w:r w:rsidRPr="00DF1103">
        <w:rPr>
          <w:rFonts w:ascii="Times New Roman" w:eastAsia="Times New Roman" w:hAnsi="Times New Roman" w:cs="Times New Roman"/>
          <w:kern w:val="0"/>
          <w:sz w:val="24"/>
          <w:szCs w:val="24"/>
          <w14:ligatures w14:val="none"/>
        </w:rPr>
        <w:t xml:space="preserve">, R. (2013). Experimental reconstruction of pottery firing techniques. In S. Scarcella (Ed.), </w:t>
      </w:r>
      <w:r w:rsidRPr="00DF1103">
        <w:rPr>
          <w:rFonts w:ascii="Times New Roman" w:eastAsia="Times New Roman" w:hAnsi="Times New Roman" w:cs="Times New Roman"/>
          <w:i/>
          <w:iCs/>
          <w:kern w:val="0"/>
          <w:sz w:val="24"/>
          <w:szCs w:val="24"/>
          <w14:ligatures w14:val="none"/>
        </w:rPr>
        <w:t>Archaeological Ceramics: A Review of Current Research</w:t>
      </w:r>
      <w:r w:rsidRPr="00DF1103">
        <w:rPr>
          <w:rFonts w:ascii="Times New Roman" w:eastAsia="Times New Roman" w:hAnsi="Times New Roman" w:cs="Times New Roman"/>
          <w:kern w:val="0"/>
          <w:sz w:val="24"/>
          <w:szCs w:val="24"/>
          <w14:ligatures w14:val="none"/>
        </w:rPr>
        <w:t xml:space="preserve"> (pp. 128-142). </w:t>
      </w:r>
      <w:proofErr w:type="spellStart"/>
      <w:r w:rsidRPr="00DF1103">
        <w:rPr>
          <w:rFonts w:ascii="Times New Roman" w:eastAsia="Times New Roman" w:hAnsi="Times New Roman" w:cs="Times New Roman"/>
          <w:kern w:val="0"/>
          <w:sz w:val="24"/>
          <w:szCs w:val="24"/>
          <w14:ligatures w14:val="none"/>
        </w:rPr>
        <w:t>Archaeopress</w:t>
      </w:r>
      <w:proofErr w:type="spellEnd"/>
      <w:r w:rsidRPr="00DF1103">
        <w:rPr>
          <w:rFonts w:ascii="Times New Roman" w:eastAsia="Times New Roman" w:hAnsi="Times New Roman" w:cs="Times New Roman"/>
          <w:kern w:val="0"/>
          <w:sz w:val="24"/>
          <w:szCs w:val="24"/>
          <w14:ligatures w14:val="none"/>
        </w:rPr>
        <w:t>.</w:t>
      </w:r>
    </w:p>
    <w:p w14:paraId="7ACAC2EF" w14:textId="77777777" w:rsidR="00DF1103" w:rsidRPr="00DF1103" w:rsidRDefault="00DF1103" w:rsidP="00DF110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DF1103">
        <w:rPr>
          <w:rFonts w:ascii="Times New Roman" w:eastAsia="Times New Roman" w:hAnsi="Times New Roman" w:cs="Times New Roman"/>
          <w:kern w:val="0"/>
          <w:sz w:val="24"/>
          <w:szCs w:val="24"/>
          <w14:ligatures w14:val="none"/>
        </w:rPr>
        <w:t>Thér</w:t>
      </w:r>
      <w:proofErr w:type="spellEnd"/>
      <w:r w:rsidRPr="00DF1103">
        <w:rPr>
          <w:rFonts w:ascii="Times New Roman" w:eastAsia="Times New Roman" w:hAnsi="Times New Roman" w:cs="Times New Roman"/>
          <w:kern w:val="0"/>
          <w:sz w:val="24"/>
          <w:szCs w:val="24"/>
          <w14:ligatures w14:val="none"/>
        </w:rPr>
        <w:t xml:space="preserve">, R., </w:t>
      </w:r>
      <w:proofErr w:type="spellStart"/>
      <w:r w:rsidRPr="00DF1103">
        <w:rPr>
          <w:rFonts w:ascii="Times New Roman" w:eastAsia="Times New Roman" w:hAnsi="Times New Roman" w:cs="Times New Roman"/>
          <w:kern w:val="0"/>
          <w:sz w:val="24"/>
          <w:szCs w:val="24"/>
          <w14:ligatures w14:val="none"/>
        </w:rPr>
        <w:t>Kallistová</w:t>
      </w:r>
      <w:proofErr w:type="spellEnd"/>
      <w:r w:rsidRPr="00DF1103">
        <w:rPr>
          <w:rFonts w:ascii="Times New Roman" w:eastAsia="Times New Roman" w:hAnsi="Times New Roman" w:cs="Times New Roman"/>
          <w:kern w:val="0"/>
          <w:sz w:val="24"/>
          <w:szCs w:val="24"/>
          <w14:ligatures w14:val="none"/>
        </w:rPr>
        <w:t xml:space="preserve">, A., &amp; Gregor, M. (2018). Experimental firing of prehistoric pottery under field conditions. </w:t>
      </w:r>
      <w:r w:rsidRPr="00DF1103">
        <w:rPr>
          <w:rFonts w:ascii="Times New Roman" w:eastAsia="Times New Roman" w:hAnsi="Times New Roman" w:cs="Times New Roman"/>
          <w:i/>
          <w:iCs/>
          <w:kern w:val="0"/>
          <w:sz w:val="24"/>
          <w:szCs w:val="24"/>
          <w14:ligatures w14:val="none"/>
        </w:rPr>
        <w:t>Journal of Archaeological Science: Reports, 17</w:t>
      </w:r>
      <w:r w:rsidRPr="00DF1103">
        <w:rPr>
          <w:rFonts w:ascii="Times New Roman" w:eastAsia="Times New Roman" w:hAnsi="Times New Roman" w:cs="Times New Roman"/>
          <w:kern w:val="0"/>
          <w:sz w:val="24"/>
          <w:szCs w:val="24"/>
          <w14:ligatures w14:val="none"/>
        </w:rPr>
        <w:t>, 669-679. https://doi.org/10.1016/j.jasrep.2017.12.038</w:t>
      </w:r>
    </w:p>
    <w:p w14:paraId="4880F584" w14:textId="77777777" w:rsidR="00DF1103" w:rsidRDefault="00DF1103"/>
    <w:sectPr w:rsidR="00DF1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33261A"/>
    <w:multiLevelType w:val="multilevel"/>
    <w:tmpl w:val="D45EC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4615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97"/>
    <w:rsid w:val="000C6497"/>
    <w:rsid w:val="007B1AAC"/>
    <w:rsid w:val="00BA2C03"/>
    <w:rsid w:val="00DF1103"/>
    <w:rsid w:val="00E03701"/>
    <w:rsid w:val="00E52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72CA0"/>
  <w15:chartTrackingRefBased/>
  <w15:docId w15:val="{D1D6F03D-AF2F-4851-97BD-068B6E96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C64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0C64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0C649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0C649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0C6497"/>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0C649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C6497"/>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C6497"/>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C6497"/>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C649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0C649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C649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C649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0C649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C649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C649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C649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C6497"/>
    <w:rPr>
      <w:rFonts w:eastAsiaTheme="majorEastAsia" w:cstheme="majorBidi"/>
      <w:color w:val="272727" w:themeColor="text1" w:themeTint="D8"/>
    </w:rPr>
  </w:style>
  <w:style w:type="paragraph" w:styleId="Nzev">
    <w:name w:val="Title"/>
    <w:basedOn w:val="Normln"/>
    <w:next w:val="Normln"/>
    <w:link w:val="NzevChar"/>
    <w:uiPriority w:val="10"/>
    <w:qFormat/>
    <w:rsid w:val="000C64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C649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C649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C649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C6497"/>
    <w:pPr>
      <w:spacing w:before="160"/>
      <w:jc w:val="center"/>
    </w:pPr>
    <w:rPr>
      <w:i/>
      <w:iCs/>
      <w:color w:val="404040" w:themeColor="text1" w:themeTint="BF"/>
    </w:rPr>
  </w:style>
  <w:style w:type="character" w:customStyle="1" w:styleId="CittChar">
    <w:name w:val="Citát Char"/>
    <w:basedOn w:val="Standardnpsmoodstavce"/>
    <w:link w:val="Citt"/>
    <w:uiPriority w:val="29"/>
    <w:rsid w:val="000C6497"/>
    <w:rPr>
      <w:i/>
      <w:iCs/>
      <w:color w:val="404040" w:themeColor="text1" w:themeTint="BF"/>
    </w:rPr>
  </w:style>
  <w:style w:type="paragraph" w:styleId="Odstavecseseznamem">
    <w:name w:val="List Paragraph"/>
    <w:basedOn w:val="Normln"/>
    <w:uiPriority w:val="34"/>
    <w:qFormat/>
    <w:rsid w:val="000C6497"/>
    <w:pPr>
      <w:ind w:left="720"/>
      <w:contextualSpacing/>
    </w:pPr>
  </w:style>
  <w:style w:type="character" w:styleId="Zdraznnintenzivn">
    <w:name w:val="Intense Emphasis"/>
    <w:basedOn w:val="Standardnpsmoodstavce"/>
    <w:uiPriority w:val="21"/>
    <w:qFormat/>
    <w:rsid w:val="000C6497"/>
    <w:rPr>
      <w:i/>
      <w:iCs/>
      <w:color w:val="0F4761" w:themeColor="accent1" w:themeShade="BF"/>
    </w:rPr>
  </w:style>
  <w:style w:type="paragraph" w:styleId="Vrazncitt">
    <w:name w:val="Intense Quote"/>
    <w:basedOn w:val="Normln"/>
    <w:next w:val="Normln"/>
    <w:link w:val="VrazncittChar"/>
    <w:uiPriority w:val="30"/>
    <w:qFormat/>
    <w:rsid w:val="000C64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0C6497"/>
    <w:rPr>
      <w:i/>
      <w:iCs/>
      <w:color w:val="0F4761" w:themeColor="accent1" w:themeShade="BF"/>
    </w:rPr>
  </w:style>
  <w:style w:type="character" w:styleId="Odkazintenzivn">
    <w:name w:val="Intense Reference"/>
    <w:basedOn w:val="Standardnpsmoodstavce"/>
    <w:uiPriority w:val="32"/>
    <w:qFormat/>
    <w:rsid w:val="000C6497"/>
    <w:rPr>
      <w:b/>
      <w:bCs/>
      <w:smallCaps/>
      <w:color w:val="0F4761" w:themeColor="accent1" w:themeShade="BF"/>
      <w:spacing w:val="5"/>
    </w:rPr>
  </w:style>
  <w:style w:type="paragraph" w:styleId="Normlnweb">
    <w:name w:val="Normal (Web)"/>
    <w:basedOn w:val="Normln"/>
    <w:uiPriority w:val="99"/>
    <w:semiHidden/>
    <w:unhideWhenUsed/>
    <w:rsid w:val="00DF110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iln">
    <w:name w:val="Strong"/>
    <w:basedOn w:val="Standardnpsmoodstavce"/>
    <w:uiPriority w:val="22"/>
    <w:qFormat/>
    <w:rsid w:val="00DF1103"/>
    <w:rPr>
      <w:b/>
      <w:bCs/>
    </w:rPr>
  </w:style>
  <w:style w:type="character" w:styleId="Zdraznn">
    <w:name w:val="Emphasis"/>
    <w:basedOn w:val="Standardnpsmoodstavce"/>
    <w:uiPriority w:val="20"/>
    <w:qFormat/>
    <w:rsid w:val="00DF1103"/>
    <w:rPr>
      <w:i/>
      <w:iCs/>
    </w:rPr>
  </w:style>
  <w:style w:type="character" w:styleId="Hypertextovodkaz">
    <w:name w:val="Hyperlink"/>
    <w:basedOn w:val="Standardnpsmoodstavce"/>
    <w:uiPriority w:val="99"/>
    <w:semiHidden/>
    <w:unhideWhenUsed/>
    <w:rsid w:val="00DF11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381703">
      <w:bodyDiv w:val="1"/>
      <w:marLeft w:val="0"/>
      <w:marRight w:val="0"/>
      <w:marTop w:val="0"/>
      <w:marBottom w:val="0"/>
      <w:divBdr>
        <w:top w:val="none" w:sz="0" w:space="0" w:color="auto"/>
        <w:left w:val="none" w:sz="0" w:space="0" w:color="auto"/>
        <w:bottom w:val="none" w:sz="0" w:space="0" w:color="auto"/>
        <w:right w:val="none" w:sz="0" w:space="0" w:color="auto"/>
      </w:divBdr>
    </w:div>
    <w:div w:id="10285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3897/phytokeys.83.13746"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1808</Words>
  <Characters>10310</Characters>
  <Application>Microsoft Office Word</Application>
  <DocSecurity>0</DocSecurity>
  <Lines>85</Lines>
  <Paragraphs>24</Paragraphs>
  <ScaleCrop>false</ScaleCrop>
  <Company/>
  <LinksUpToDate>false</LinksUpToDate>
  <CharactersWithSpaces>12094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Petřík</dc:creator>
  <cp:keywords/>
  <dc:description/>
  <cp:lastModifiedBy>Jan Petřík</cp:lastModifiedBy>
  <cp:revision>2</cp:revision>
  <dcterms:created xsi:type="dcterms:W3CDTF">2024-06-24T20:54:00Z</dcterms:created>
  <dcterms:modified xsi:type="dcterms:W3CDTF">2024-06-26T23:32:00Z</dcterms:modified>
</cp:coreProperties>
</file>