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6DC2E4" w14:textId="2F03FA67" w:rsidR="001A782E" w:rsidRDefault="00C3792D">
      <w:r>
        <w:rPr>
          <w:noProof/>
          <w:lang w:val="en-IN" w:eastAsia="en-IN"/>
        </w:rPr>
        <w:drawing>
          <wp:inline distT="0" distB="0" distL="0" distR="0" wp14:anchorId="46AA047B" wp14:editId="1AE00563">
            <wp:extent cx="5943600" cy="5545455"/>
            <wp:effectExtent l="0" t="0" r="0" b="0"/>
            <wp:docPr id="3671131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7113104" name="Picture 367113104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545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DCFB90" w14:textId="14AB86FA" w:rsidR="00342FF3" w:rsidRDefault="00342FF3" w:rsidP="00342FF3"/>
    <w:p w14:paraId="4B1850A8" w14:textId="3DA7DCE0" w:rsidR="00342FF3" w:rsidRDefault="00342FF3" w:rsidP="00342FF3">
      <w:pPr>
        <w:rPr>
          <w:rFonts w:ascii="Times New Roman" w:hAnsi="Times New Roman" w:cs="Times New Roman"/>
          <w:sz w:val="24"/>
          <w:szCs w:val="24"/>
        </w:rPr>
      </w:pPr>
      <w:r>
        <w:t xml:space="preserve">Figure S1: </w:t>
      </w:r>
      <w:r w:rsidRPr="00DC16AA">
        <w:rPr>
          <w:rFonts w:asciiTheme="majorBidi" w:hAnsiTheme="majorBidi" w:cstheme="majorBidi"/>
          <w:sz w:val="24"/>
          <w:szCs w:val="24"/>
        </w:rPr>
        <w:t xml:space="preserve">Effects of </w:t>
      </w:r>
      <w:r w:rsidR="0068412D" w:rsidRPr="00350686">
        <w:rPr>
          <w:rFonts w:asciiTheme="majorBidi" w:hAnsiTheme="majorBidi" w:cstheme="majorBidi"/>
          <w:sz w:val="24"/>
          <w:szCs w:val="24"/>
        </w:rPr>
        <w:t>NMOF-CS, NMOF-CS</w:t>
      </w:r>
      <w:r w:rsidR="0068412D">
        <w:rPr>
          <w:rFonts w:asciiTheme="majorBidi" w:hAnsiTheme="majorBidi" w:cstheme="majorBidi"/>
          <w:sz w:val="24"/>
          <w:szCs w:val="24"/>
        </w:rPr>
        <w:t>-D</w:t>
      </w:r>
      <w:r w:rsidR="0068412D" w:rsidRPr="00350686">
        <w:rPr>
          <w:rFonts w:asciiTheme="majorBidi" w:hAnsiTheme="majorBidi" w:cstheme="majorBidi"/>
          <w:sz w:val="24"/>
          <w:szCs w:val="24"/>
        </w:rPr>
        <w:t>, NMOF-CS-FA, and NMOF</w:t>
      </w:r>
      <w:r w:rsidR="0068412D">
        <w:rPr>
          <w:rFonts w:asciiTheme="majorBidi" w:hAnsiTheme="majorBidi" w:cstheme="majorBidi"/>
          <w:sz w:val="24"/>
          <w:szCs w:val="24"/>
        </w:rPr>
        <w:t>-</w:t>
      </w:r>
      <w:r w:rsidR="0068412D" w:rsidRPr="00350686">
        <w:rPr>
          <w:rFonts w:asciiTheme="majorBidi" w:hAnsiTheme="majorBidi" w:cstheme="majorBidi"/>
          <w:sz w:val="24"/>
          <w:szCs w:val="24"/>
        </w:rPr>
        <w:t>CS-FA</w:t>
      </w:r>
      <w:r w:rsidR="0068412D">
        <w:rPr>
          <w:rFonts w:asciiTheme="majorBidi" w:hAnsiTheme="majorBidi" w:cstheme="majorBidi"/>
          <w:sz w:val="24"/>
          <w:szCs w:val="24"/>
        </w:rPr>
        <w:t>-D</w:t>
      </w:r>
      <w:r w:rsidR="0068412D" w:rsidRPr="00350686">
        <w:rPr>
          <w:rFonts w:asciiTheme="majorBidi" w:hAnsiTheme="majorBidi" w:cstheme="majorBidi"/>
          <w:sz w:val="24"/>
          <w:szCs w:val="24"/>
        </w:rPr>
        <w:t xml:space="preserve"> </w:t>
      </w:r>
      <w:r w:rsidRPr="00DC16AA">
        <w:rPr>
          <w:rFonts w:asciiTheme="majorBidi" w:hAnsiTheme="majorBidi" w:cstheme="majorBidi"/>
          <w:sz w:val="24"/>
          <w:szCs w:val="24"/>
        </w:rPr>
        <w:t xml:space="preserve">nanocomposites on cell viability of MCF-7 and HFF1 cell lines after treatment with various concentration of nanocomposites at </w:t>
      </w:r>
      <w:r>
        <w:rPr>
          <w:rFonts w:asciiTheme="majorBidi" w:hAnsiTheme="majorBidi" w:cstheme="majorBidi"/>
          <w:sz w:val="24"/>
          <w:szCs w:val="24"/>
        </w:rPr>
        <w:t>48</w:t>
      </w:r>
      <w:r w:rsidRPr="00DC16AA">
        <w:rPr>
          <w:rFonts w:asciiTheme="majorBidi" w:hAnsiTheme="majorBidi" w:cstheme="majorBidi"/>
          <w:sz w:val="24"/>
          <w:szCs w:val="24"/>
        </w:rPr>
        <w:t xml:space="preserve"> h of post-treatment. The excellent cell growth inhibition potency is obtained for </w:t>
      </w:r>
      <w:r w:rsidR="0068412D" w:rsidRPr="00350686">
        <w:rPr>
          <w:rFonts w:asciiTheme="majorBidi" w:hAnsiTheme="majorBidi" w:cstheme="majorBidi"/>
          <w:sz w:val="24"/>
          <w:szCs w:val="24"/>
        </w:rPr>
        <w:t>NMOF</w:t>
      </w:r>
      <w:r w:rsidR="0068412D">
        <w:rPr>
          <w:rFonts w:asciiTheme="majorBidi" w:hAnsiTheme="majorBidi" w:cstheme="majorBidi"/>
          <w:sz w:val="24"/>
          <w:szCs w:val="24"/>
        </w:rPr>
        <w:t>-</w:t>
      </w:r>
      <w:r w:rsidR="0068412D" w:rsidRPr="00350686">
        <w:rPr>
          <w:rFonts w:asciiTheme="majorBidi" w:hAnsiTheme="majorBidi" w:cstheme="majorBidi"/>
          <w:sz w:val="24"/>
          <w:szCs w:val="24"/>
        </w:rPr>
        <w:t>CS-FA</w:t>
      </w:r>
      <w:r w:rsidR="0068412D">
        <w:rPr>
          <w:rFonts w:asciiTheme="majorBidi" w:hAnsiTheme="majorBidi" w:cstheme="majorBidi"/>
          <w:sz w:val="24"/>
          <w:szCs w:val="24"/>
        </w:rPr>
        <w:t>-D</w:t>
      </w:r>
      <w:r w:rsidRPr="00DC16AA">
        <w:rPr>
          <w:rFonts w:asciiTheme="majorBidi" w:hAnsiTheme="majorBidi" w:cstheme="majorBidi"/>
          <w:sz w:val="24"/>
          <w:szCs w:val="24"/>
        </w:rPr>
        <w:t xml:space="preserve">, especially on MCF-7 cells, at all concentrations and treatment time (IC50: 5 </w:t>
      </w:r>
      <w:proofErr w:type="spellStart"/>
      <w:r w:rsidRPr="00DC16AA">
        <w:rPr>
          <w:rFonts w:asciiTheme="majorBidi" w:hAnsiTheme="majorBidi" w:cstheme="majorBidi"/>
          <w:sz w:val="24"/>
          <w:szCs w:val="24"/>
        </w:rPr>
        <w:t>nM</w:t>
      </w:r>
      <w:proofErr w:type="spellEnd"/>
      <w:r w:rsidRPr="00DC16AA">
        <w:rPr>
          <w:rFonts w:asciiTheme="majorBidi" w:hAnsiTheme="majorBidi" w:cstheme="majorBidi"/>
          <w:sz w:val="24"/>
          <w:szCs w:val="24"/>
        </w:rPr>
        <w:t>). Less cytotoxicity is attained for NMOF-CS which is indicating excellent biocompatibility and biodegradability of the nanocarrier. P-value &lt;0.01 was considered statistically significant between</w:t>
      </w:r>
      <w:r w:rsidRPr="00DC16AA">
        <w:rPr>
          <w:rFonts w:ascii="Times New Roman" w:hAnsi="Times New Roman" w:cs="Times New Roman"/>
          <w:sz w:val="24"/>
          <w:szCs w:val="24"/>
        </w:rPr>
        <w:t xml:space="preserve"> nanocomposites and mimic.</w:t>
      </w:r>
    </w:p>
    <w:p w14:paraId="35E59D5C" w14:textId="44D2B2DB" w:rsidR="00342FF3" w:rsidRDefault="00342FF3" w:rsidP="00342FF3">
      <w:pPr>
        <w:rPr>
          <w:rFonts w:ascii="Times New Roman" w:hAnsi="Times New Roman" w:cs="Times New Roman"/>
          <w:sz w:val="24"/>
          <w:szCs w:val="24"/>
        </w:rPr>
      </w:pPr>
    </w:p>
    <w:p w14:paraId="62244CA1" w14:textId="259CAADC" w:rsidR="00342FF3" w:rsidRDefault="00342FF3" w:rsidP="00342FF3">
      <w:pPr>
        <w:rPr>
          <w:rFonts w:ascii="Times New Roman" w:hAnsi="Times New Roman" w:cs="Times New Roman"/>
          <w:sz w:val="24"/>
          <w:szCs w:val="24"/>
        </w:rPr>
      </w:pPr>
    </w:p>
    <w:p w14:paraId="065382C2" w14:textId="4CCBEEDE" w:rsidR="00342FF3" w:rsidRDefault="00342FF3" w:rsidP="00342FF3">
      <w:pPr>
        <w:rPr>
          <w:rFonts w:ascii="Times New Roman" w:hAnsi="Times New Roman" w:cs="Times New Roman"/>
          <w:sz w:val="24"/>
          <w:szCs w:val="24"/>
        </w:rPr>
      </w:pPr>
    </w:p>
    <w:p w14:paraId="4697A2CC" w14:textId="424D5862" w:rsidR="00342FF3" w:rsidRDefault="00342FF3" w:rsidP="00342FF3">
      <w:pPr>
        <w:rPr>
          <w:rFonts w:ascii="Times New Roman" w:hAnsi="Times New Roman" w:cs="Times New Roman"/>
          <w:sz w:val="24"/>
          <w:szCs w:val="24"/>
        </w:rPr>
      </w:pPr>
    </w:p>
    <w:p w14:paraId="2C446D23" w14:textId="613B22BC" w:rsidR="00342FF3" w:rsidRDefault="00C3792D" w:rsidP="00342FF3">
      <w:pPr>
        <w:rPr>
          <w:noProof/>
        </w:rPr>
      </w:pPr>
      <w:r>
        <w:rPr>
          <w:noProof/>
          <w:lang w:val="en-IN" w:eastAsia="en-IN"/>
        </w:rPr>
        <w:drawing>
          <wp:inline distT="0" distB="0" distL="0" distR="0" wp14:anchorId="34B06F33" wp14:editId="2D2FB92F">
            <wp:extent cx="5943600" cy="5207000"/>
            <wp:effectExtent l="0" t="0" r="0" b="0"/>
            <wp:docPr id="82016384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0163848" name="Picture 82016384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20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21B61FE8" w14:textId="46B9F798" w:rsidR="00342FF3" w:rsidRPr="00342FF3" w:rsidRDefault="00342FF3" w:rsidP="00342FF3">
      <w:r>
        <w:t xml:space="preserve">Figure S2: </w:t>
      </w:r>
      <w:r w:rsidRPr="00DC16AA">
        <w:rPr>
          <w:rFonts w:asciiTheme="majorBidi" w:hAnsiTheme="majorBidi" w:cstheme="majorBidi"/>
          <w:sz w:val="24"/>
          <w:szCs w:val="24"/>
        </w:rPr>
        <w:t xml:space="preserve">Effects of </w:t>
      </w:r>
      <w:r w:rsidR="0068412D" w:rsidRPr="00350686">
        <w:rPr>
          <w:rFonts w:asciiTheme="majorBidi" w:hAnsiTheme="majorBidi" w:cstheme="majorBidi"/>
          <w:sz w:val="24"/>
          <w:szCs w:val="24"/>
        </w:rPr>
        <w:t>NMOF-CS, NMOF-CS</w:t>
      </w:r>
      <w:r w:rsidR="0068412D">
        <w:rPr>
          <w:rFonts w:asciiTheme="majorBidi" w:hAnsiTheme="majorBidi" w:cstheme="majorBidi"/>
          <w:sz w:val="24"/>
          <w:szCs w:val="24"/>
        </w:rPr>
        <w:t>-D</w:t>
      </w:r>
      <w:r w:rsidR="0068412D" w:rsidRPr="00350686">
        <w:rPr>
          <w:rFonts w:asciiTheme="majorBidi" w:hAnsiTheme="majorBidi" w:cstheme="majorBidi"/>
          <w:sz w:val="24"/>
          <w:szCs w:val="24"/>
        </w:rPr>
        <w:t>, NMOF-CS-FA, and NMOF</w:t>
      </w:r>
      <w:r w:rsidR="0068412D">
        <w:rPr>
          <w:rFonts w:asciiTheme="majorBidi" w:hAnsiTheme="majorBidi" w:cstheme="majorBidi"/>
          <w:sz w:val="24"/>
          <w:szCs w:val="24"/>
        </w:rPr>
        <w:t>-</w:t>
      </w:r>
      <w:r w:rsidR="0068412D" w:rsidRPr="00350686">
        <w:rPr>
          <w:rFonts w:asciiTheme="majorBidi" w:hAnsiTheme="majorBidi" w:cstheme="majorBidi"/>
          <w:sz w:val="24"/>
          <w:szCs w:val="24"/>
        </w:rPr>
        <w:t>CS-FA</w:t>
      </w:r>
      <w:r w:rsidR="0068412D">
        <w:rPr>
          <w:rFonts w:asciiTheme="majorBidi" w:hAnsiTheme="majorBidi" w:cstheme="majorBidi"/>
          <w:sz w:val="24"/>
          <w:szCs w:val="24"/>
        </w:rPr>
        <w:t>-D</w:t>
      </w:r>
      <w:r w:rsidR="0068412D" w:rsidRPr="00350686">
        <w:rPr>
          <w:rFonts w:asciiTheme="majorBidi" w:hAnsiTheme="majorBidi" w:cstheme="majorBidi"/>
          <w:sz w:val="24"/>
          <w:szCs w:val="24"/>
        </w:rPr>
        <w:t xml:space="preserve"> </w:t>
      </w:r>
      <w:r w:rsidRPr="00DC16AA">
        <w:rPr>
          <w:rFonts w:asciiTheme="majorBidi" w:hAnsiTheme="majorBidi" w:cstheme="majorBidi"/>
          <w:sz w:val="24"/>
          <w:szCs w:val="24"/>
        </w:rPr>
        <w:t xml:space="preserve">nanocomposites on cell viability of MCF-7 and HFF1 cell lines after treatment with various concentration of nanocomposites at </w:t>
      </w:r>
      <w:r>
        <w:rPr>
          <w:rFonts w:asciiTheme="majorBidi" w:hAnsiTheme="majorBidi" w:cstheme="majorBidi"/>
          <w:sz w:val="24"/>
          <w:szCs w:val="24"/>
        </w:rPr>
        <w:t>72</w:t>
      </w:r>
      <w:r w:rsidRPr="00DC16AA">
        <w:rPr>
          <w:rFonts w:asciiTheme="majorBidi" w:hAnsiTheme="majorBidi" w:cstheme="majorBidi"/>
          <w:sz w:val="24"/>
          <w:szCs w:val="24"/>
        </w:rPr>
        <w:t xml:space="preserve"> h of post-treatment. The excellent cell growth inhibition potency is obtained for </w:t>
      </w:r>
      <w:r w:rsidR="001056BF" w:rsidRPr="00350686">
        <w:rPr>
          <w:rFonts w:asciiTheme="majorBidi" w:hAnsiTheme="majorBidi" w:cstheme="majorBidi"/>
          <w:sz w:val="24"/>
          <w:szCs w:val="24"/>
        </w:rPr>
        <w:t>NMOF</w:t>
      </w:r>
      <w:r w:rsidR="001056BF">
        <w:rPr>
          <w:rFonts w:asciiTheme="majorBidi" w:hAnsiTheme="majorBidi" w:cstheme="majorBidi"/>
          <w:sz w:val="24"/>
          <w:szCs w:val="24"/>
        </w:rPr>
        <w:t>-</w:t>
      </w:r>
      <w:r w:rsidR="001056BF" w:rsidRPr="00350686">
        <w:rPr>
          <w:rFonts w:asciiTheme="majorBidi" w:hAnsiTheme="majorBidi" w:cstheme="majorBidi"/>
          <w:sz w:val="24"/>
          <w:szCs w:val="24"/>
        </w:rPr>
        <w:t>CS-FA</w:t>
      </w:r>
      <w:r w:rsidR="001056BF">
        <w:rPr>
          <w:rFonts w:asciiTheme="majorBidi" w:hAnsiTheme="majorBidi" w:cstheme="majorBidi"/>
          <w:sz w:val="24"/>
          <w:szCs w:val="24"/>
        </w:rPr>
        <w:t>-D</w:t>
      </w:r>
      <w:r w:rsidRPr="00DC16AA">
        <w:rPr>
          <w:rFonts w:asciiTheme="majorBidi" w:hAnsiTheme="majorBidi" w:cstheme="majorBidi"/>
          <w:sz w:val="24"/>
          <w:szCs w:val="24"/>
        </w:rPr>
        <w:t xml:space="preserve">, especially on MCF-7 cells, at all concentrations and treatment time (IC50: 5 </w:t>
      </w:r>
      <w:proofErr w:type="spellStart"/>
      <w:r w:rsidRPr="00DC16AA">
        <w:rPr>
          <w:rFonts w:asciiTheme="majorBidi" w:hAnsiTheme="majorBidi" w:cstheme="majorBidi"/>
          <w:sz w:val="24"/>
          <w:szCs w:val="24"/>
        </w:rPr>
        <w:t>nM</w:t>
      </w:r>
      <w:proofErr w:type="spellEnd"/>
      <w:r w:rsidRPr="00DC16AA">
        <w:rPr>
          <w:rFonts w:asciiTheme="majorBidi" w:hAnsiTheme="majorBidi" w:cstheme="majorBidi"/>
          <w:sz w:val="24"/>
          <w:szCs w:val="24"/>
        </w:rPr>
        <w:t>). Less cytotoxicity is attained for NMOF-CS which is indicating excellent biocompatibility and biodegradability of the nanocarrier. P-value &lt;0.01 was considered statistically significant between</w:t>
      </w:r>
      <w:r w:rsidRPr="00DC16AA">
        <w:rPr>
          <w:rFonts w:ascii="Times New Roman" w:hAnsi="Times New Roman" w:cs="Times New Roman"/>
          <w:sz w:val="24"/>
          <w:szCs w:val="24"/>
        </w:rPr>
        <w:t xml:space="preserve"> nanocomposites and mimic.</w:t>
      </w:r>
    </w:p>
    <w:sectPr w:rsidR="00342FF3" w:rsidRPr="00342FF3" w:rsidSect="00CC2F7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2FF3"/>
    <w:rsid w:val="001056BF"/>
    <w:rsid w:val="001A782E"/>
    <w:rsid w:val="00342FF3"/>
    <w:rsid w:val="00675F82"/>
    <w:rsid w:val="0068412D"/>
    <w:rsid w:val="007F3441"/>
    <w:rsid w:val="00963F20"/>
    <w:rsid w:val="00C3792D"/>
    <w:rsid w:val="00CC2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CD7F3C"/>
  <w15:chartTrackingRefBased/>
  <w15:docId w15:val="{C629A3D4-0128-48DD-958A-69F4E066D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179</Words>
  <Characters>1024</Characters>
  <Application>Microsoft Office Word</Application>
  <DocSecurity>0</DocSecurity>
  <Lines>8</Lines>
  <Paragraphs>2</Paragraphs>
  <ScaleCrop>false</ScaleCrop>
  <Company/>
  <LinksUpToDate>false</LinksUpToDate>
  <CharactersWithSpaces>1201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Sepideh Khaleghi</dc:creator>
  <cp:keywords/>
  <dc:description/>
  <cp:lastModifiedBy>Megalapriya J Jayachandran C</cp:lastModifiedBy>
  <cp:revision>5</cp:revision>
  <dcterms:created xsi:type="dcterms:W3CDTF">2021-06-12T20:14:00Z</dcterms:created>
  <dcterms:modified xsi:type="dcterms:W3CDTF">2024-08-06T05:55:00Z</dcterms:modified>
</cp:coreProperties>
</file>