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CB402" w14:textId="77777777" w:rsidR="00BC6B36" w:rsidRPr="00BC6B36" w:rsidRDefault="00462A9C" w:rsidP="00041176">
      <w:pPr>
        <w:bidi w:val="0"/>
        <w:spacing w:line="480" w:lineRule="auto"/>
        <w:jc w:val="both"/>
        <w:rPr>
          <w:b/>
          <w:bCs/>
          <w:sz w:val="24"/>
          <w:szCs w:val="24"/>
        </w:rPr>
      </w:pPr>
      <w:r w:rsidRPr="00BC6B36">
        <w:rPr>
          <w:b/>
          <w:bCs/>
          <w:sz w:val="24"/>
          <w:szCs w:val="24"/>
        </w:rPr>
        <w:t>Appendix 1. Results</w:t>
      </w:r>
    </w:p>
    <w:p w14:paraId="07F269D3" w14:textId="77777777" w:rsidR="00462A9C" w:rsidRPr="00BC6B36" w:rsidRDefault="00BC6B36" w:rsidP="00462A9C">
      <w:pPr>
        <w:bidi w:val="0"/>
        <w:spacing w:line="480" w:lineRule="auto"/>
        <w:jc w:val="both"/>
        <w:rPr>
          <w:b/>
          <w:bCs/>
          <w:sz w:val="24"/>
          <w:szCs w:val="24"/>
        </w:rPr>
      </w:pPr>
      <w:r w:rsidRPr="00BC6B36">
        <w:rPr>
          <w:b/>
          <w:bCs/>
          <w:sz w:val="24"/>
          <w:szCs w:val="24"/>
        </w:rPr>
        <w:t>Classical Hodgkin Lymphoma (CHL)</w:t>
      </w:r>
    </w:p>
    <w:p w14:paraId="79D286DC" w14:textId="77777777" w:rsidR="00BC6B36" w:rsidRPr="00BC6B36" w:rsidRDefault="00BC6B36" w:rsidP="00BC6B36">
      <w:pPr>
        <w:bidi w:val="0"/>
        <w:spacing w:line="480" w:lineRule="auto"/>
        <w:jc w:val="both"/>
        <w:rPr>
          <w:b/>
          <w:bCs/>
          <w:sz w:val="24"/>
          <w:szCs w:val="24"/>
        </w:rPr>
      </w:pPr>
      <w:r w:rsidRPr="00BC6B36">
        <w:rPr>
          <w:b/>
          <w:bCs/>
          <w:sz w:val="24"/>
          <w:szCs w:val="24"/>
        </w:rPr>
        <w:t>Men</w:t>
      </w:r>
    </w:p>
    <w:p w14:paraId="1C8CA381" w14:textId="77777777" w:rsidR="00BC6B36" w:rsidRPr="00BC6B36" w:rsidRDefault="00BC6B36" w:rsidP="00BC6B36">
      <w:pPr>
        <w:bidi w:val="0"/>
        <w:spacing w:line="480" w:lineRule="auto"/>
        <w:jc w:val="both"/>
        <w:rPr>
          <w:sz w:val="24"/>
          <w:szCs w:val="24"/>
        </w:rPr>
      </w:pPr>
      <w:r w:rsidRPr="00BC6B36">
        <w:rPr>
          <w:sz w:val="24"/>
          <w:szCs w:val="24"/>
        </w:rPr>
        <w:t>A total of 36,522 cases of CHL were reported in men over 2000-2019. The majority of cases were NHWs (67.10%) and occurred between the ages of 20 and 29 (22.80%). Those between 40 and 49 years experienced the most significant decline, with an AAPC of -1.97% (-2.79, -1.28) (Table 3).</w:t>
      </w:r>
    </w:p>
    <w:p w14:paraId="5A694FD2" w14:textId="77777777" w:rsidR="00BC6B36" w:rsidRPr="00BC6B36" w:rsidRDefault="00BC6B36" w:rsidP="00BC6B36">
      <w:pPr>
        <w:bidi w:val="0"/>
        <w:spacing w:line="480" w:lineRule="auto"/>
        <w:jc w:val="both"/>
        <w:rPr>
          <w:sz w:val="24"/>
          <w:szCs w:val="24"/>
        </w:rPr>
      </w:pPr>
      <w:r w:rsidRPr="00BC6B36">
        <w:rPr>
          <w:sz w:val="24"/>
          <w:szCs w:val="24"/>
        </w:rPr>
        <w:t>Of all the reported cases, 6,255 (17.13%) were Hispanics. The majority of registered individuals were between 20 and 29 years (22.81%). The overall ASIR per 100,000 population was 3.41 (3.31, 3.51). Cases between 70 and 79 years had the highest ASIR among other age groups (7.98 [7.34, 8.66]). There was a significant decrease in the incidence rate of Hispanic cases from 2000-2019 (-1.00%; [-1.49, -0.45]). Individuals aged 60-69 years experienced the most significant fall in incidence from 2000 to 2019 (-1.76% [-3.19, -0.06]) (Table 3).</w:t>
      </w:r>
    </w:p>
    <w:p w14:paraId="152821D4" w14:textId="77777777" w:rsidR="00BC6B36" w:rsidRPr="00BC6B36" w:rsidRDefault="00BC6B36" w:rsidP="00BC6B36">
      <w:pPr>
        <w:bidi w:val="0"/>
        <w:spacing w:line="480" w:lineRule="auto"/>
        <w:jc w:val="both"/>
        <w:rPr>
          <w:sz w:val="24"/>
          <w:szCs w:val="24"/>
        </w:rPr>
      </w:pPr>
      <w:r w:rsidRPr="00BC6B36">
        <w:rPr>
          <w:sz w:val="24"/>
          <w:szCs w:val="24"/>
        </w:rPr>
        <w:t>NHBs constituted 10.96% of men with CHL. The majority of NHBs were in the age range of 20 to 29 years (23.98%). The overall ASIR per 100,000 population was 3.59 (3.47, 3.70), and cases between 30 and 39 years had the highest ASIR among other age groups (3.97 [3.72, 4.24]). The overall AAPC was -0.68% (-2.44, 1.16) (Table 3).</w:t>
      </w:r>
    </w:p>
    <w:p w14:paraId="3FA68321" w14:textId="77777777" w:rsidR="00BC6B36" w:rsidRPr="00BC6B36" w:rsidRDefault="00BC6B36" w:rsidP="00BC6B36">
      <w:pPr>
        <w:bidi w:val="0"/>
        <w:spacing w:line="480" w:lineRule="auto"/>
        <w:jc w:val="both"/>
        <w:rPr>
          <w:sz w:val="24"/>
          <w:szCs w:val="24"/>
        </w:rPr>
      </w:pPr>
      <w:r w:rsidRPr="00BC6B36">
        <w:rPr>
          <w:sz w:val="24"/>
          <w:szCs w:val="24"/>
        </w:rPr>
        <w:t>There were 24,498 reported cases of NHWs with CHL. The majority of the cases were between 20 and 29 years (22.00%). The overall ASIR per 100,000 population was 4.03 (3.98, 4.09), with cases between 20 and 29 years having the highest ASIR (5.13 [4.99, 5.27]). There was a significant decrease in overall ASIR over 2000-2019 in NHW men (AAPC: -1.14% [-1.88, -0.56]) (Table 3).</w:t>
      </w:r>
    </w:p>
    <w:p w14:paraId="72015CE8" w14:textId="77777777" w:rsidR="00BC6B36" w:rsidRPr="00BC6B36" w:rsidRDefault="00BC6B36" w:rsidP="00BC6B36">
      <w:pPr>
        <w:bidi w:val="0"/>
        <w:spacing w:line="480" w:lineRule="auto"/>
        <w:jc w:val="both"/>
        <w:rPr>
          <w:b/>
          <w:bCs/>
          <w:sz w:val="24"/>
          <w:szCs w:val="24"/>
        </w:rPr>
      </w:pPr>
      <w:r w:rsidRPr="00BC6B36">
        <w:rPr>
          <w:b/>
          <w:bCs/>
          <w:sz w:val="24"/>
          <w:szCs w:val="24"/>
        </w:rPr>
        <w:lastRenderedPageBreak/>
        <w:t xml:space="preserve">Women </w:t>
      </w:r>
    </w:p>
    <w:p w14:paraId="39561AE8" w14:textId="77777777" w:rsidR="00BC6B36" w:rsidRPr="00BC6B36" w:rsidRDefault="00BC6B36" w:rsidP="00BC6B36">
      <w:pPr>
        <w:bidi w:val="0"/>
        <w:spacing w:line="480" w:lineRule="auto"/>
        <w:jc w:val="both"/>
        <w:rPr>
          <w:sz w:val="24"/>
          <w:szCs w:val="24"/>
        </w:rPr>
      </w:pPr>
      <w:r w:rsidRPr="00BC6B36">
        <w:rPr>
          <w:sz w:val="24"/>
          <w:szCs w:val="24"/>
        </w:rPr>
        <w:t>Between 2000 and 2019, a total of 30,339 cases of CHL were reported. The majority of these cases were among NHWs (67.82%), with most falling between the ages of 20 and 29, representing 28.50% of the cases. Individuals between 20 and 29 years old had the highest reported ASIR (4.22 [4.13, 4.31]). Cases aged 60-69 years old experienced the most significant decline in ASIRs over 2000-2019 with an AAPC of -1.51% (-2.17, -0.79) (Table 3).</w:t>
      </w:r>
    </w:p>
    <w:p w14:paraId="3752FC0A" w14:textId="77777777" w:rsidR="00BC6B36" w:rsidRPr="00BC6B36" w:rsidRDefault="00BC6B36" w:rsidP="00BC6B36">
      <w:pPr>
        <w:bidi w:val="0"/>
        <w:spacing w:line="480" w:lineRule="auto"/>
        <w:jc w:val="both"/>
        <w:rPr>
          <w:sz w:val="24"/>
          <w:szCs w:val="24"/>
        </w:rPr>
      </w:pPr>
      <w:r w:rsidRPr="00BC6B36">
        <w:rPr>
          <w:sz w:val="24"/>
          <w:szCs w:val="24"/>
        </w:rPr>
        <w:t>Among all reported cases, 4,992 (16.45%) were among Hispanic individuals. The majority of instances were between 20 and 29 years (31.91%). The overall ASIR per 100,000 population for this group was 2.43 (2.36, 2.50). Individuals between 70 and 79 years old had the highest ASIR compared to other age groups, with an ASIR of 4.80 (4.38, 5.26). There was a significant decrease in the ASIRs of cases between 50 and 59 years over the 2000-2019 period, with an AAPC of -2.52% (-4.23, -0.63) (Table 3).</w:t>
      </w:r>
    </w:p>
    <w:p w14:paraId="059BE999" w14:textId="77777777" w:rsidR="00BC6B36" w:rsidRPr="00BC6B36" w:rsidRDefault="00BC6B36" w:rsidP="00BC6B36">
      <w:pPr>
        <w:bidi w:val="0"/>
        <w:spacing w:line="480" w:lineRule="auto"/>
        <w:jc w:val="both"/>
        <w:rPr>
          <w:sz w:val="24"/>
          <w:szCs w:val="24"/>
        </w:rPr>
      </w:pPr>
      <w:r w:rsidRPr="00BC6B36">
        <w:rPr>
          <w:sz w:val="24"/>
          <w:szCs w:val="24"/>
        </w:rPr>
        <w:t>NHBs comprised 10.88% of the instances of CHL in women. A noteworthy proportion of NHB instances were observed within the 20 to 29-year age group (28.48%). The overall ASIR per 100,000 population for NHB women was 2.54 (2.46, 2.63), with instances between 20 and 29 years old exhibiting the highest ASIR among other age groups (3.45 [3.23, 3.68]). Those between 20 and 29 years experienced the most substantial decline in ASIRs from 2000 to 2019, with an AAPC of -1.61% (-3.09, -0.13) (Table 3).</w:t>
      </w:r>
    </w:p>
    <w:p w14:paraId="495D3D84" w14:textId="77777777" w:rsidR="00BC6B36" w:rsidRDefault="00BC6B36" w:rsidP="00BC6B36">
      <w:pPr>
        <w:bidi w:val="0"/>
        <w:spacing w:line="480" w:lineRule="auto"/>
        <w:jc w:val="both"/>
        <w:rPr>
          <w:sz w:val="24"/>
          <w:szCs w:val="24"/>
        </w:rPr>
      </w:pPr>
      <w:r w:rsidRPr="00BC6B36">
        <w:rPr>
          <w:sz w:val="24"/>
          <w:szCs w:val="24"/>
        </w:rPr>
        <w:t>The majority of NHW instances occurred in the 20 to 29 (26.89%) age group. The overall ASIR per 100,000 population for this group was 3.29 (3.25, 3.34), with instances between 20 and 29 years old having the highest ASIR (5.43 [5.28, 5.57]). Over the 2000-2019 period, there was a significant decrease in the overall ASIRs for NHW women, with an AAPC of -0.81% (-1.21, -</w:t>
      </w:r>
      <w:r w:rsidRPr="00BC6B36">
        <w:rPr>
          <w:sz w:val="24"/>
          <w:szCs w:val="24"/>
        </w:rPr>
        <w:lastRenderedPageBreak/>
        <w:t>0.35). Individuals between 60 and 69 years old experienced the most substantial decline in ASIRs with an AAPC of -1.79% (-2.56, -0.99) from 2000 to 2019 (Table 3).</w:t>
      </w:r>
    </w:p>
    <w:p w14:paraId="190DCDDE" w14:textId="77777777" w:rsidR="00BC6B36" w:rsidRDefault="00BC6B36" w:rsidP="00BC6B36">
      <w:pPr>
        <w:bidi w:val="0"/>
        <w:spacing w:line="480" w:lineRule="auto"/>
        <w:jc w:val="both"/>
        <w:rPr>
          <w:sz w:val="24"/>
          <w:szCs w:val="24"/>
        </w:rPr>
      </w:pPr>
    </w:p>
    <w:p w14:paraId="419F7A1E" w14:textId="77777777" w:rsidR="00854153" w:rsidRPr="00854153" w:rsidRDefault="00854153" w:rsidP="00854153">
      <w:pPr>
        <w:bidi w:val="0"/>
        <w:spacing w:line="480" w:lineRule="auto"/>
        <w:contextualSpacing/>
        <w:jc w:val="both"/>
        <w:rPr>
          <w:rFonts w:ascii="Calibri" w:eastAsia="Calibri" w:hAnsi="Calibri" w:cs="Calibri"/>
          <w:b/>
          <w:bCs/>
          <w:sz w:val="24"/>
          <w:szCs w:val="24"/>
          <w:lang w:bidi="ar-SA"/>
        </w:rPr>
      </w:pPr>
      <w:r w:rsidRPr="00854153">
        <w:rPr>
          <w:rFonts w:ascii="Calibri" w:eastAsia="Calibri" w:hAnsi="Calibri" w:cs="Calibri"/>
          <w:b/>
          <w:bCs/>
          <w:sz w:val="24"/>
          <w:szCs w:val="24"/>
          <w:lang w:bidi="ar-SA"/>
        </w:rPr>
        <w:t>Lymphocyte-rich/mixed cell/lymphocyte-depleted Hodgkin lymphoma (LR/MC/LD HL)</w:t>
      </w:r>
    </w:p>
    <w:p w14:paraId="1E1C9AC8" w14:textId="77777777" w:rsidR="00854153" w:rsidRPr="00854153" w:rsidRDefault="00854153" w:rsidP="00854153">
      <w:pPr>
        <w:bidi w:val="0"/>
        <w:spacing w:line="480" w:lineRule="auto"/>
        <w:jc w:val="both"/>
        <w:rPr>
          <w:rFonts w:cstheme="minorHAnsi"/>
          <w:b/>
          <w:bCs/>
          <w:sz w:val="24"/>
          <w:szCs w:val="24"/>
        </w:rPr>
      </w:pPr>
      <w:r w:rsidRPr="00854153">
        <w:rPr>
          <w:rFonts w:cstheme="minorHAnsi"/>
          <w:b/>
          <w:bCs/>
          <w:sz w:val="24"/>
          <w:szCs w:val="24"/>
        </w:rPr>
        <w:t xml:space="preserve">Men </w:t>
      </w:r>
    </w:p>
    <w:p w14:paraId="4A6AA1E1" w14:textId="77777777" w:rsidR="00854153" w:rsidRPr="00B310C2" w:rsidRDefault="00854153" w:rsidP="00854153">
      <w:pPr>
        <w:bidi w:val="0"/>
        <w:spacing w:line="480" w:lineRule="auto"/>
        <w:jc w:val="both"/>
        <w:rPr>
          <w:rFonts w:cstheme="minorHAnsi"/>
          <w:sz w:val="24"/>
          <w:szCs w:val="24"/>
        </w:rPr>
      </w:pPr>
      <w:r w:rsidRPr="00B310C2">
        <w:rPr>
          <w:rFonts w:cstheme="minorHAnsi"/>
          <w:sz w:val="24"/>
          <w:szCs w:val="24"/>
        </w:rPr>
        <w:t xml:space="preserve">A total of 7,009 cases of LR/MC/LD HL were reported in men from 2000 to 2019. The majority of these cases were among NHWs (63.52%) and occurred in individuals aged 40 to 49 years (18.95%). Individuals between 70 and 79 had the highest ASIR compared to other age groups (1.16 [1.08, 1.24]). Those between 40 and 49 </w:t>
      </w:r>
      <w:r>
        <w:rPr>
          <w:rFonts w:cstheme="minorHAnsi"/>
          <w:sz w:val="24"/>
          <w:szCs w:val="24"/>
        </w:rPr>
        <w:t xml:space="preserve">years </w:t>
      </w:r>
      <w:r w:rsidRPr="00B310C2">
        <w:rPr>
          <w:rFonts w:cstheme="minorHAnsi"/>
          <w:sz w:val="24"/>
          <w:szCs w:val="24"/>
        </w:rPr>
        <w:t>had the most substantial decline in</w:t>
      </w:r>
      <w:r>
        <w:rPr>
          <w:rFonts w:cstheme="minorHAnsi"/>
          <w:sz w:val="24"/>
          <w:szCs w:val="24"/>
        </w:rPr>
        <w:t xml:space="preserve"> ASIRs</w:t>
      </w:r>
      <w:r w:rsidRPr="00B310C2">
        <w:rPr>
          <w:rFonts w:cstheme="minorHAnsi"/>
          <w:sz w:val="24"/>
          <w:szCs w:val="24"/>
        </w:rPr>
        <w:t xml:space="preserve"> over 200</w:t>
      </w:r>
      <w:r>
        <w:rPr>
          <w:rFonts w:cstheme="minorHAnsi"/>
          <w:sz w:val="24"/>
          <w:szCs w:val="24"/>
        </w:rPr>
        <w:t>0-2019, with an AAPC of -5.24% (-8.46, -3.28)</w:t>
      </w:r>
      <w:r w:rsidRPr="00B310C2">
        <w:rPr>
          <w:rFonts w:cstheme="minorHAnsi"/>
          <w:sz w:val="24"/>
          <w:szCs w:val="24"/>
        </w:rPr>
        <w:t xml:space="preserve"> (Table 4).</w:t>
      </w:r>
    </w:p>
    <w:p w14:paraId="77D1098E" w14:textId="77777777" w:rsidR="00854153" w:rsidRPr="00B310C2" w:rsidRDefault="00854153" w:rsidP="00854153">
      <w:pPr>
        <w:bidi w:val="0"/>
        <w:spacing w:line="480" w:lineRule="auto"/>
        <w:jc w:val="both"/>
        <w:rPr>
          <w:rFonts w:cstheme="minorHAnsi"/>
          <w:sz w:val="24"/>
          <w:szCs w:val="24"/>
        </w:rPr>
      </w:pPr>
      <w:r w:rsidRPr="00B310C2">
        <w:rPr>
          <w:rFonts w:cstheme="minorHAnsi"/>
          <w:sz w:val="24"/>
          <w:szCs w:val="24"/>
        </w:rPr>
        <w:t>Out of all the reported cases, 1,398 (19.95%) were among Hispanic individuals. The majority of cases were between 40 and 49 (21.82%). The overall ASIR per 100,000 popu</w:t>
      </w:r>
      <w:r>
        <w:rPr>
          <w:rFonts w:cstheme="minorHAnsi"/>
          <w:sz w:val="24"/>
          <w:szCs w:val="24"/>
        </w:rPr>
        <w:t>lation for this group was 0.79 (0.74, 0.84)</w:t>
      </w:r>
      <w:r w:rsidRPr="00B310C2">
        <w:rPr>
          <w:rFonts w:cstheme="minorHAnsi"/>
          <w:sz w:val="24"/>
          <w:szCs w:val="24"/>
        </w:rPr>
        <w:t xml:space="preserve">. Cases between 70 </w:t>
      </w:r>
      <w:r>
        <w:rPr>
          <w:rFonts w:cstheme="minorHAnsi"/>
          <w:sz w:val="24"/>
          <w:szCs w:val="24"/>
        </w:rPr>
        <w:t>and</w:t>
      </w:r>
      <w:r w:rsidRPr="00B310C2">
        <w:rPr>
          <w:rFonts w:cstheme="minorHAnsi"/>
          <w:sz w:val="24"/>
          <w:szCs w:val="24"/>
        </w:rPr>
        <w:t xml:space="preserve"> 79 </w:t>
      </w:r>
      <w:r>
        <w:rPr>
          <w:rFonts w:cstheme="minorHAnsi"/>
          <w:sz w:val="24"/>
          <w:szCs w:val="24"/>
        </w:rPr>
        <w:t xml:space="preserve">years </w:t>
      </w:r>
      <w:r w:rsidRPr="00B310C2">
        <w:rPr>
          <w:rFonts w:cstheme="minorHAnsi"/>
          <w:sz w:val="24"/>
          <w:szCs w:val="24"/>
        </w:rPr>
        <w:t>had the highest ASIR among all age groups (1.86 [1.56, 2.2</w:t>
      </w:r>
      <w:r>
        <w:rPr>
          <w:rFonts w:cstheme="minorHAnsi"/>
          <w:sz w:val="24"/>
          <w:szCs w:val="24"/>
        </w:rPr>
        <w:t>0</w:t>
      </w:r>
      <w:r w:rsidRPr="00B310C2">
        <w:rPr>
          <w:rFonts w:cstheme="minorHAnsi"/>
          <w:sz w:val="24"/>
          <w:szCs w:val="24"/>
        </w:rPr>
        <w:t>]</w:t>
      </w:r>
      <w:r>
        <w:rPr>
          <w:rFonts w:cstheme="minorHAnsi"/>
          <w:sz w:val="24"/>
          <w:szCs w:val="24"/>
        </w:rPr>
        <w:t>).</w:t>
      </w:r>
      <w:r w:rsidRPr="00B310C2">
        <w:rPr>
          <w:rFonts w:cstheme="minorHAnsi"/>
          <w:sz w:val="24"/>
          <w:szCs w:val="24"/>
        </w:rPr>
        <w:t xml:space="preserve"> Those aged 50-59 years experienced the most significant decline in ASIR from 2000 to 2009 with an AAPC of -5.3</w:t>
      </w:r>
      <w:r>
        <w:rPr>
          <w:rFonts w:cstheme="minorHAnsi"/>
          <w:sz w:val="24"/>
          <w:szCs w:val="24"/>
        </w:rPr>
        <w:t>0% (-9.64, -1.37)</w:t>
      </w:r>
      <w:r w:rsidRPr="00B310C2">
        <w:rPr>
          <w:rFonts w:cstheme="minorHAnsi"/>
          <w:sz w:val="24"/>
          <w:szCs w:val="24"/>
        </w:rPr>
        <w:t xml:space="preserve"> (Table 4).</w:t>
      </w:r>
    </w:p>
    <w:p w14:paraId="29687E1B" w14:textId="77777777" w:rsidR="00854153" w:rsidRPr="00B310C2" w:rsidRDefault="00854153" w:rsidP="00854153">
      <w:pPr>
        <w:bidi w:val="0"/>
        <w:spacing w:line="480" w:lineRule="auto"/>
        <w:jc w:val="both"/>
        <w:rPr>
          <w:rFonts w:cstheme="minorHAnsi"/>
          <w:sz w:val="24"/>
          <w:szCs w:val="24"/>
        </w:rPr>
      </w:pPr>
      <w:r w:rsidRPr="00B310C2">
        <w:rPr>
          <w:rFonts w:cstheme="minorHAnsi"/>
          <w:sz w:val="24"/>
          <w:szCs w:val="24"/>
        </w:rPr>
        <w:t>NHBs accounted for 11.88% of the cases of LR/MC/LD HL in men. The majority of NHB cases occurred in individuals aged 40 to 49 years (26.05%). The overall ASIR per 100,00</w:t>
      </w:r>
      <w:r>
        <w:rPr>
          <w:rFonts w:cstheme="minorHAnsi"/>
          <w:sz w:val="24"/>
          <w:szCs w:val="24"/>
        </w:rPr>
        <w:t>0 population for NHBs was 0.76 (</w:t>
      </w:r>
      <w:r w:rsidRPr="00B310C2">
        <w:rPr>
          <w:rFonts w:cstheme="minorHAnsi"/>
          <w:sz w:val="24"/>
          <w:szCs w:val="24"/>
        </w:rPr>
        <w:t>0.7</w:t>
      </w:r>
      <w:r>
        <w:rPr>
          <w:rFonts w:cstheme="minorHAnsi"/>
          <w:sz w:val="24"/>
          <w:szCs w:val="24"/>
        </w:rPr>
        <w:t>0</w:t>
      </w:r>
      <w:r w:rsidRPr="00B310C2">
        <w:rPr>
          <w:rFonts w:cstheme="minorHAnsi"/>
          <w:sz w:val="24"/>
          <w:szCs w:val="24"/>
        </w:rPr>
        <w:t>, 0.81</w:t>
      </w:r>
      <w:r>
        <w:rPr>
          <w:rFonts w:cstheme="minorHAnsi"/>
          <w:sz w:val="24"/>
          <w:szCs w:val="24"/>
        </w:rPr>
        <w:t>)</w:t>
      </w:r>
      <w:r w:rsidRPr="00B310C2">
        <w:rPr>
          <w:rFonts w:cstheme="minorHAnsi"/>
          <w:sz w:val="24"/>
          <w:szCs w:val="24"/>
        </w:rPr>
        <w:t>, with cases between 40 and 49 years having the highest ASIR (0.95 [0.83, 1.09]). The overall AAPC for NHB over 2000-2019 was -4.3</w:t>
      </w:r>
      <w:r>
        <w:rPr>
          <w:rFonts w:cstheme="minorHAnsi"/>
          <w:sz w:val="24"/>
          <w:szCs w:val="24"/>
        </w:rPr>
        <w:t>0% (-7.06, -2.12)</w:t>
      </w:r>
      <w:r w:rsidRPr="00B310C2">
        <w:rPr>
          <w:rFonts w:cstheme="minorHAnsi"/>
          <w:sz w:val="24"/>
          <w:szCs w:val="24"/>
        </w:rPr>
        <w:t xml:space="preserve"> (Table 4).</w:t>
      </w:r>
    </w:p>
    <w:p w14:paraId="28BA8C7B" w14:textId="77777777" w:rsidR="00854153" w:rsidRPr="00B310C2" w:rsidRDefault="00854153" w:rsidP="00854153">
      <w:pPr>
        <w:bidi w:val="0"/>
        <w:spacing w:line="480" w:lineRule="auto"/>
        <w:jc w:val="both"/>
        <w:rPr>
          <w:rFonts w:cstheme="minorHAnsi"/>
          <w:sz w:val="24"/>
          <w:szCs w:val="24"/>
        </w:rPr>
      </w:pPr>
      <w:r w:rsidRPr="00B310C2">
        <w:rPr>
          <w:rFonts w:cstheme="minorHAnsi"/>
          <w:sz w:val="24"/>
          <w:szCs w:val="24"/>
        </w:rPr>
        <w:t xml:space="preserve">The majority of NHW cases occurred in individuals aged 55 to 59 years (18.31%). The overall ASIR per 100,000 population for NHW men was 0.71 (0.69, 0.73), with cases between 70 and </w:t>
      </w:r>
      <w:r w:rsidRPr="00B310C2">
        <w:rPr>
          <w:rFonts w:cstheme="minorHAnsi"/>
          <w:sz w:val="24"/>
          <w:szCs w:val="24"/>
        </w:rPr>
        <w:lastRenderedPageBreak/>
        <w:t>79 years having the highest ASIR (</w:t>
      </w:r>
      <w:bookmarkStart w:id="0" w:name="_Hlk153382441"/>
      <w:r w:rsidRPr="00B310C2">
        <w:rPr>
          <w:rFonts w:cstheme="minorHAnsi"/>
          <w:sz w:val="24"/>
          <w:szCs w:val="24"/>
        </w:rPr>
        <w:t>1.16</w:t>
      </w:r>
      <w:r>
        <w:rPr>
          <w:rFonts w:cstheme="minorHAnsi"/>
          <w:sz w:val="24"/>
          <w:szCs w:val="24"/>
        </w:rPr>
        <w:t xml:space="preserve"> [</w:t>
      </w:r>
      <w:r w:rsidRPr="00B310C2">
        <w:rPr>
          <w:rFonts w:cstheme="minorHAnsi"/>
          <w:sz w:val="24"/>
          <w:szCs w:val="24"/>
        </w:rPr>
        <w:t>1.07, 1.26</w:t>
      </w:r>
      <w:bookmarkEnd w:id="0"/>
      <w:r>
        <w:rPr>
          <w:rFonts w:cstheme="minorHAnsi"/>
          <w:sz w:val="24"/>
          <w:szCs w:val="24"/>
        </w:rPr>
        <w:t>]</w:t>
      </w:r>
      <w:r w:rsidRPr="00B310C2">
        <w:rPr>
          <w:rFonts w:cstheme="minorHAnsi"/>
          <w:sz w:val="24"/>
          <w:szCs w:val="24"/>
        </w:rPr>
        <w:t>). There was a significant decrease in the overall ASIR over the period of</w:t>
      </w:r>
      <w:r>
        <w:rPr>
          <w:rFonts w:cstheme="minorHAnsi"/>
          <w:sz w:val="24"/>
          <w:szCs w:val="24"/>
        </w:rPr>
        <w:t xml:space="preserve"> 2000 to 2019 in NHW men (AAPC:</w:t>
      </w:r>
      <w:r w:rsidRPr="00B310C2">
        <w:rPr>
          <w:rFonts w:cstheme="minorHAnsi"/>
          <w:sz w:val="24"/>
          <w:szCs w:val="24"/>
        </w:rPr>
        <w:t xml:space="preserve"> -4.2</w:t>
      </w:r>
      <w:r>
        <w:rPr>
          <w:rFonts w:cstheme="minorHAnsi"/>
          <w:sz w:val="24"/>
          <w:szCs w:val="24"/>
        </w:rPr>
        <w:t>0</w:t>
      </w:r>
      <w:r w:rsidRPr="00B310C2">
        <w:rPr>
          <w:rFonts w:cstheme="minorHAnsi"/>
          <w:sz w:val="24"/>
          <w:szCs w:val="24"/>
        </w:rPr>
        <w:t>% [-4.82, -3.71]) (Table 4).</w:t>
      </w:r>
    </w:p>
    <w:p w14:paraId="17AC06C7" w14:textId="77777777" w:rsidR="00854153" w:rsidRPr="00854153" w:rsidRDefault="00854153" w:rsidP="00854153">
      <w:pPr>
        <w:bidi w:val="0"/>
        <w:spacing w:line="480" w:lineRule="auto"/>
        <w:jc w:val="both"/>
        <w:rPr>
          <w:rFonts w:cstheme="minorHAnsi"/>
          <w:b/>
          <w:bCs/>
          <w:sz w:val="24"/>
          <w:szCs w:val="24"/>
        </w:rPr>
      </w:pPr>
      <w:r w:rsidRPr="00854153">
        <w:rPr>
          <w:rFonts w:cstheme="minorHAnsi"/>
          <w:b/>
          <w:bCs/>
          <w:sz w:val="24"/>
          <w:szCs w:val="24"/>
        </w:rPr>
        <w:t xml:space="preserve">Women </w:t>
      </w:r>
    </w:p>
    <w:p w14:paraId="3D8CCDB2" w14:textId="77777777" w:rsidR="00854153" w:rsidRPr="00B310C2" w:rsidRDefault="00854153" w:rsidP="00854153">
      <w:pPr>
        <w:bidi w:val="0"/>
        <w:spacing w:line="480" w:lineRule="auto"/>
        <w:jc w:val="both"/>
        <w:rPr>
          <w:rFonts w:cstheme="minorHAnsi"/>
          <w:sz w:val="24"/>
          <w:szCs w:val="24"/>
        </w:rPr>
      </w:pPr>
      <w:r w:rsidRPr="00B310C2">
        <w:rPr>
          <w:rFonts w:cstheme="minorHAnsi"/>
          <w:sz w:val="24"/>
          <w:szCs w:val="24"/>
        </w:rPr>
        <w:t>Between 2000 and 2019, a total of 4,179 cases of LR/MC/LD HL were reported in women. The majority of these cases were among NHWs (66.09%) and between 70 and 79 years (16.85%). Individuals between 70 and 79 years old had the highest reported ASIR among other age groups (0.93 [0.87, 1</w:t>
      </w:r>
      <w:r>
        <w:rPr>
          <w:rFonts w:cstheme="minorHAnsi"/>
          <w:sz w:val="24"/>
          <w:szCs w:val="24"/>
        </w:rPr>
        <w:t>.00</w:t>
      </w:r>
      <w:r w:rsidRPr="00B310C2">
        <w:rPr>
          <w:rFonts w:cstheme="minorHAnsi"/>
          <w:sz w:val="24"/>
          <w:szCs w:val="24"/>
        </w:rPr>
        <w:t>]). Those over 80 years old had the most significant decline, with an AA</w:t>
      </w:r>
      <w:r>
        <w:rPr>
          <w:rFonts w:cstheme="minorHAnsi"/>
          <w:sz w:val="24"/>
          <w:szCs w:val="24"/>
        </w:rPr>
        <w:t>PC of -5.66% (-8.27, -3.55)</w:t>
      </w:r>
      <w:r w:rsidRPr="00B310C2">
        <w:rPr>
          <w:rFonts w:cstheme="minorHAnsi"/>
          <w:sz w:val="24"/>
          <w:szCs w:val="24"/>
        </w:rPr>
        <w:t xml:space="preserve"> (Table 4).</w:t>
      </w:r>
    </w:p>
    <w:p w14:paraId="5DBBF17D" w14:textId="77777777" w:rsidR="00854153" w:rsidRPr="00B310C2" w:rsidRDefault="00854153" w:rsidP="00854153">
      <w:pPr>
        <w:bidi w:val="0"/>
        <w:spacing w:line="480" w:lineRule="auto"/>
        <w:jc w:val="both"/>
        <w:rPr>
          <w:rFonts w:cstheme="minorHAnsi"/>
          <w:sz w:val="24"/>
          <w:szCs w:val="24"/>
        </w:rPr>
      </w:pPr>
      <w:r w:rsidRPr="00B310C2">
        <w:rPr>
          <w:rFonts w:cstheme="minorHAnsi"/>
          <w:sz w:val="24"/>
          <w:szCs w:val="24"/>
        </w:rPr>
        <w:t>Among all reported cases, 768 (18.38%) were among Hispanic individuals. The majority of cases were individuals between 60 and 69 years old (18.23%). The overall ASIR per 100,000 popu</w:t>
      </w:r>
      <w:r>
        <w:rPr>
          <w:rFonts w:cstheme="minorHAnsi"/>
          <w:sz w:val="24"/>
          <w:szCs w:val="24"/>
        </w:rPr>
        <w:t>lation for this group was 0.44 (</w:t>
      </w:r>
      <w:r w:rsidRPr="00B310C2">
        <w:rPr>
          <w:rFonts w:cstheme="minorHAnsi"/>
          <w:sz w:val="24"/>
          <w:szCs w:val="24"/>
        </w:rPr>
        <w:t>0.</w:t>
      </w:r>
      <w:r>
        <w:rPr>
          <w:rFonts w:cstheme="minorHAnsi"/>
          <w:sz w:val="24"/>
          <w:szCs w:val="24"/>
        </w:rPr>
        <w:t>41, 0.47)</w:t>
      </w:r>
      <w:r w:rsidRPr="00B310C2">
        <w:rPr>
          <w:rFonts w:cstheme="minorHAnsi"/>
          <w:sz w:val="24"/>
          <w:szCs w:val="24"/>
        </w:rPr>
        <w:t xml:space="preserve">. Individuals between 70 and 79 years had the highest ASIR compared to other age groups (1.34 [1.12, 1.59]). The overall AAPC for Hispanic </w:t>
      </w:r>
      <w:r>
        <w:rPr>
          <w:rFonts w:cstheme="minorHAnsi"/>
          <w:sz w:val="24"/>
          <w:szCs w:val="24"/>
        </w:rPr>
        <w:t xml:space="preserve">women was -2.41% [-5.07, 0.31] </w:t>
      </w:r>
      <w:r w:rsidRPr="00B310C2">
        <w:rPr>
          <w:rFonts w:cstheme="minorHAnsi"/>
          <w:sz w:val="24"/>
          <w:szCs w:val="24"/>
        </w:rPr>
        <w:t>(Table 4).</w:t>
      </w:r>
    </w:p>
    <w:p w14:paraId="0E2C41B9" w14:textId="77777777" w:rsidR="00854153" w:rsidRPr="00B310C2" w:rsidRDefault="00854153" w:rsidP="00854153">
      <w:pPr>
        <w:spacing w:line="480" w:lineRule="auto"/>
        <w:jc w:val="both"/>
        <w:rPr>
          <w:rFonts w:cstheme="minorHAnsi"/>
          <w:sz w:val="24"/>
          <w:szCs w:val="24"/>
          <w:rtl/>
        </w:rPr>
      </w:pPr>
      <w:r w:rsidRPr="00B310C2">
        <w:rPr>
          <w:rFonts w:cstheme="minorHAnsi"/>
          <w:sz w:val="24"/>
          <w:szCs w:val="24"/>
        </w:rPr>
        <w:t>NHBs constituted 11.34% of the cases of LR/MC/LD HL in women. A significant portion of NHB cases fell within the 40 to 49-year age group (20.46%). The overall ASIR per 100,000 population for NHB women was 0.38 (0.34, 0.41), with cases between 70 and 79 years old having the highest ASIR among other age groups (0.59 [0.44, 0.78]). NHB women showed no significant change</w:t>
      </w:r>
      <w:r>
        <w:rPr>
          <w:rFonts w:cstheme="minorHAnsi"/>
          <w:sz w:val="24"/>
          <w:szCs w:val="24"/>
        </w:rPr>
        <w:t>s</w:t>
      </w:r>
      <w:r w:rsidRPr="00B310C2">
        <w:rPr>
          <w:rFonts w:cstheme="minorHAnsi"/>
          <w:sz w:val="24"/>
          <w:szCs w:val="24"/>
        </w:rPr>
        <w:t xml:space="preserve"> in ASIR</w:t>
      </w:r>
      <w:r>
        <w:rPr>
          <w:rFonts w:cstheme="minorHAnsi"/>
          <w:sz w:val="24"/>
          <w:szCs w:val="24"/>
        </w:rPr>
        <w:t>s</w:t>
      </w:r>
      <w:r w:rsidRPr="00B310C2">
        <w:rPr>
          <w:rFonts w:cstheme="minorHAnsi"/>
          <w:sz w:val="24"/>
          <w:szCs w:val="24"/>
        </w:rPr>
        <w:t xml:space="preserve"> over 2000-2019 (</w:t>
      </w:r>
      <w:r>
        <w:rPr>
          <w:rFonts w:cstheme="minorHAnsi"/>
          <w:sz w:val="24"/>
          <w:szCs w:val="24"/>
        </w:rPr>
        <w:t xml:space="preserve">AAPC: </w:t>
      </w:r>
      <w:r w:rsidRPr="00B310C2">
        <w:rPr>
          <w:rFonts w:cstheme="minorHAnsi"/>
          <w:sz w:val="24"/>
          <w:szCs w:val="24"/>
        </w:rPr>
        <w:t>-2.32% [-5.4</w:t>
      </w:r>
      <w:r>
        <w:rPr>
          <w:rFonts w:cstheme="minorHAnsi"/>
          <w:sz w:val="24"/>
          <w:szCs w:val="24"/>
        </w:rPr>
        <w:t>0</w:t>
      </w:r>
      <w:r w:rsidRPr="00B310C2">
        <w:rPr>
          <w:rFonts w:cstheme="minorHAnsi"/>
          <w:sz w:val="24"/>
          <w:szCs w:val="24"/>
        </w:rPr>
        <w:t>, 0.39]) (Table 4).</w:t>
      </w:r>
    </w:p>
    <w:p w14:paraId="52E20C9B" w14:textId="77777777" w:rsidR="00854153" w:rsidRDefault="00854153" w:rsidP="00854153">
      <w:pPr>
        <w:bidi w:val="0"/>
        <w:spacing w:line="480" w:lineRule="auto"/>
        <w:jc w:val="both"/>
        <w:rPr>
          <w:rFonts w:cstheme="minorHAnsi"/>
          <w:sz w:val="24"/>
          <w:szCs w:val="24"/>
        </w:rPr>
      </w:pPr>
      <w:r w:rsidRPr="00B310C2">
        <w:rPr>
          <w:rFonts w:cstheme="minorHAnsi"/>
          <w:sz w:val="24"/>
          <w:szCs w:val="24"/>
        </w:rPr>
        <w:t>The majority of NHW cases were in the 70 to 79 (21.83%) age group. The overall ASIR p</w:t>
      </w:r>
      <w:r>
        <w:rPr>
          <w:rFonts w:cstheme="minorHAnsi"/>
          <w:sz w:val="24"/>
          <w:szCs w:val="24"/>
        </w:rPr>
        <w:t>er 100,000 population was 0.39 (0.38, 0.41)</w:t>
      </w:r>
      <w:r w:rsidRPr="00B310C2">
        <w:rPr>
          <w:rFonts w:cstheme="minorHAnsi"/>
          <w:sz w:val="24"/>
          <w:szCs w:val="24"/>
        </w:rPr>
        <w:t xml:space="preserve">, with cases between 70 and 79 years old having the </w:t>
      </w:r>
      <w:r w:rsidRPr="00B310C2">
        <w:rPr>
          <w:rFonts w:cstheme="minorHAnsi"/>
          <w:sz w:val="24"/>
          <w:szCs w:val="24"/>
        </w:rPr>
        <w:lastRenderedPageBreak/>
        <w:t>h</w:t>
      </w:r>
      <w:r>
        <w:rPr>
          <w:rFonts w:cstheme="minorHAnsi"/>
          <w:sz w:val="24"/>
          <w:szCs w:val="24"/>
        </w:rPr>
        <w:t>ighest ASIR at 0.96 (0.88, 1.04)</w:t>
      </w:r>
      <w:r w:rsidRPr="00B310C2">
        <w:rPr>
          <w:rFonts w:cstheme="minorHAnsi"/>
          <w:sz w:val="24"/>
          <w:szCs w:val="24"/>
        </w:rPr>
        <w:t xml:space="preserve">. From 2000 to 2019, there was a significant </w:t>
      </w:r>
      <w:r>
        <w:rPr>
          <w:rFonts w:cstheme="minorHAnsi"/>
          <w:sz w:val="24"/>
          <w:szCs w:val="24"/>
        </w:rPr>
        <w:t>decrease</w:t>
      </w:r>
      <w:r w:rsidRPr="00B310C2">
        <w:rPr>
          <w:rFonts w:cstheme="minorHAnsi"/>
          <w:sz w:val="24"/>
          <w:szCs w:val="24"/>
        </w:rPr>
        <w:t xml:space="preserve"> in the overall ASIR for NHW</w:t>
      </w:r>
      <w:r>
        <w:rPr>
          <w:rFonts w:cstheme="minorHAnsi"/>
          <w:sz w:val="24"/>
          <w:szCs w:val="24"/>
        </w:rPr>
        <w:t xml:space="preserve"> women, with an AAPC of -3.57% (-4.28, -2.96) </w:t>
      </w:r>
      <w:r w:rsidRPr="00B310C2">
        <w:rPr>
          <w:rFonts w:cstheme="minorHAnsi"/>
          <w:sz w:val="24"/>
          <w:szCs w:val="24"/>
        </w:rPr>
        <w:t>(Table 4).</w:t>
      </w:r>
    </w:p>
    <w:p w14:paraId="450A6B34" w14:textId="77777777" w:rsidR="00854153" w:rsidRDefault="00854153" w:rsidP="00854153">
      <w:pPr>
        <w:bidi w:val="0"/>
        <w:spacing w:line="480" w:lineRule="auto"/>
        <w:jc w:val="both"/>
        <w:rPr>
          <w:rFonts w:cstheme="minorHAnsi"/>
          <w:sz w:val="24"/>
          <w:szCs w:val="24"/>
        </w:rPr>
      </w:pPr>
    </w:p>
    <w:p w14:paraId="3BBF7C03" w14:textId="77777777" w:rsidR="002E1760" w:rsidRPr="002E1760" w:rsidRDefault="002E1760" w:rsidP="002E1760">
      <w:pPr>
        <w:bidi w:val="0"/>
        <w:spacing w:line="480" w:lineRule="auto"/>
        <w:jc w:val="both"/>
        <w:rPr>
          <w:rFonts w:cstheme="minorHAnsi"/>
          <w:b/>
          <w:bCs/>
          <w:sz w:val="24"/>
          <w:szCs w:val="24"/>
        </w:rPr>
      </w:pPr>
      <w:bookmarkStart w:id="1" w:name="_Hlk138378907"/>
      <w:r w:rsidRPr="002E1760">
        <w:rPr>
          <w:rFonts w:cstheme="minorHAnsi"/>
          <w:b/>
          <w:bCs/>
          <w:sz w:val="24"/>
          <w:szCs w:val="24"/>
        </w:rPr>
        <w:t>Nodular sclerosis Hodgkin lymphoma (NSHL)</w:t>
      </w:r>
    </w:p>
    <w:bookmarkEnd w:id="1"/>
    <w:p w14:paraId="3C055BED" w14:textId="77777777" w:rsidR="002E1760" w:rsidRPr="002E1760" w:rsidRDefault="002E1760" w:rsidP="002E1760">
      <w:pPr>
        <w:bidi w:val="0"/>
        <w:spacing w:line="480" w:lineRule="auto"/>
        <w:jc w:val="both"/>
        <w:rPr>
          <w:rFonts w:cstheme="minorHAnsi"/>
          <w:b/>
          <w:bCs/>
          <w:sz w:val="24"/>
          <w:szCs w:val="24"/>
        </w:rPr>
      </w:pPr>
      <w:r w:rsidRPr="002E1760">
        <w:rPr>
          <w:rFonts w:cstheme="minorHAnsi"/>
          <w:b/>
          <w:bCs/>
          <w:sz w:val="24"/>
          <w:szCs w:val="24"/>
        </w:rPr>
        <w:t>Men</w:t>
      </w:r>
    </w:p>
    <w:p w14:paraId="34A46EF6" w14:textId="77777777" w:rsidR="002E1760" w:rsidRPr="00B310C2" w:rsidRDefault="002E1760" w:rsidP="002E1760">
      <w:pPr>
        <w:bidi w:val="0"/>
        <w:spacing w:line="480" w:lineRule="auto"/>
        <w:jc w:val="both"/>
        <w:rPr>
          <w:rFonts w:cstheme="minorHAnsi"/>
          <w:sz w:val="24"/>
          <w:szCs w:val="24"/>
        </w:rPr>
      </w:pPr>
      <w:r w:rsidRPr="00B310C2">
        <w:rPr>
          <w:rFonts w:cstheme="minorHAnsi"/>
          <w:sz w:val="24"/>
          <w:szCs w:val="24"/>
        </w:rPr>
        <w:t>A total of 17,850 cases of NSHL were reported in men between 2000 and 2019. The majority of these cases were among NHWs (69.06%), and the most considerable portion of them occurred in individuals aged 20 to 29 years (30.45%). Among men with NSHL, those between 20 and 29 years had the highest ASIR (2.55 [2.48, 2.62]). Individ</w:t>
      </w:r>
      <w:r>
        <w:rPr>
          <w:rFonts w:cstheme="minorHAnsi"/>
          <w:sz w:val="24"/>
          <w:szCs w:val="24"/>
        </w:rPr>
        <w:t xml:space="preserve">uals aged 40-49 showed the largest </w:t>
      </w:r>
      <w:r w:rsidRPr="00B310C2">
        <w:rPr>
          <w:rFonts w:cstheme="minorHAnsi"/>
          <w:sz w:val="24"/>
          <w:szCs w:val="24"/>
        </w:rPr>
        <w:t>d</w:t>
      </w:r>
      <w:r>
        <w:rPr>
          <w:rFonts w:cstheme="minorHAnsi"/>
          <w:sz w:val="24"/>
          <w:szCs w:val="24"/>
        </w:rPr>
        <w:t>ecrease with an AAPC of -3.07% (-4.06, -2.21)</w:t>
      </w:r>
      <w:r w:rsidRPr="00B310C2">
        <w:rPr>
          <w:rFonts w:cstheme="minorHAnsi"/>
          <w:sz w:val="24"/>
          <w:szCs w:val="24"/>
        </w:rPr>
        <w:t xml:space="preserve"> (Table 5).</w:t>
      </w:r>
    </w:p>
    <w:p w14:paraId="2341A15F" w14:textId="77777777" w:rsidR="002E1760" w:rsidRPr="00B310C2" w:rsidRDefault="002E1760" w:rsidP="002E1760">
      <w:pPr>
        <w:bidi w:val="0"/>
        <w:spacing w:line="480" w:lineRule="auto"/>
        <w:jc w:val="both"/>
        <w:rPr>
          <w:rFonts w:cstheme="minorHAnsi"/>
          <w:sz w:val="24"/>
          <w:szCs w:val="24"/>
        </w:rPr>
      </w:pPr>
      <w:r w:rsidRPr="00B310C2">
        <w:rPr>
          <w:rFonts w:cstheme="minorHAnsi"/>
          <w:sz w:val="24"/>
          <w:szCs w:val="24"/>
        </w:rPr>
        <w:t>Out of all the reported cases, 2</w:t>
      </w:r>
      <w:r>
        <w:rPr>
          <w:rFonts w:cstheme="minorHAnsi"/>
          <w:sz w:val="24"/>
          <w:szCs w:val="24"/>
        </w:rPr>
        <w:t>,</w:t>
      </w:r>
      <w:r w:rsidRPr="00B310C2">
        <w:rPr>
          <w:rFonts w:cstheme="minorHAnsi"/>
          <w:sz w:val="24"/>
          <w:szCs w:val="24"/>
        </w:rPr>
        <w:t xml:space="preserve">548 (14.27%) were among Hispanic individuals. The majority of cases were between 20 and 29 </w:t>
      </w:r>
      <w:r>
        <w:rPr>
          <w:rFonts w:cstheme="minorHAnsi"/>
          <w:sz w:val="24"/>
          <w:szCs w:val="24"/>
        </w:rPr>
        <w:t xml:space="preserve">years </w:t>
      </w:r>
      <w:r w:rsidRPr="00B310C2">
        <w:rPr>
          <w:rFonts w:cstheme="minorHAnsi"/>
          <w:sz w:val="24"/>
          <w:szCs w:val="24"/>
        </w:rPr>
        <w:t>(32.10%). The overall ASIR per 100,000 popu</w:t>
      </w:r>
      <w:r>
        <w:rPr>
          <w:rFonts w:cstheme="minorHAnsi"/>
          <w:sz w:val="24"/>
          <w:szCs w:val="24"/>
        </w:rPr>
        <w:t>lation for this group was 1.25 (1.19, 1.30)</w:t>
      </w:r>
      <w:r w:rsidRPr="00B310C2">
        <w:rPr>
          <w:rFonts w:cstheme="minorHAnsi"/>
          <w:sz w:val="24"/>
          <w:szCs w:val="24"/>
        </w:rPr>
        <w:t>. Cases aged 70-79 years had the highest ASIR among all age grou</w:t>
      </w:r>
      <w:r>
        <w:rPr>
          <w:rFonts w:cstheme="minorHAnsi"/>
          <w:sz w:val="24"/>
          <w:szCs w:val="24"/>
        </w:rPr>
        <w:t>ps (</w:t>
      </w:r>
      <w:r w:rsidRPr="00B310C2">
        <w:rPr>
          <w:rFonts w:cstheme="minorHAnsi"/>
          <w:sz w:val="24"/>
          <w:szCs w:val="24"/>
        </w:rPr>
        <w:t>2.32 [1.98, 2.7</w:t>
      </w:r>
      <w:r>
        <w:rPr>
          <w:rFonts w:cstheme="minorHAnsi"/>
          <w:sz w:val="24"/>
          <w:szCs w:val="24"/>
        </w:rPr>
        <w:t>0</w:t>
      </w:r>
      <w:r w:rsidRPr="00B310C2">
        <w:rPr>
          <w:rFonts w:cstheme="minorHAnsi"/>
          <w:sz w:val="24"/>
          <w:szCs w:val="24"/>
        </w:rPr>
        <w:t>]</w:t>
      </w:r>
      <w:r>
        <w:rPr>
          <w:rFonts w:cstheme="minorHAnsi"/>
          <w:sz w:val="24"/>
          <w:szCs w:val="24"/>
        </w:rPr>
        <w:t>)</w:t>
      </w:r>
      <w:r w:rsidRPr="00B310C2">
        <w:rPr>
          <w:rFonts w:cstheme="minorHAnsi"/>
          <w:sz w:val="24"/>
          <w:szCs w:val="24"/>
        </w:rPr>
        <w:t xml:space="preserve">. There was a significant decrease in ASIR from 2000-2019, with </w:t>
      </w:r>
      <w:r>
        <w:rPr>
          <w:rFonts w:cstheme="minorHAnsi"/>
          <w:sz w:val="24"/>
          <w:szCs w:val="24"/>
        </w:rPr>
        <w:t>an AAPC of -2.89% (-4.42, -0.95)</w:t>
      </w:r>
      <w:r w:rsidRPr="00B310C2">
        <w:rPr>
          <w:rFonts w:cstheme="minorHAnsi"/>
          <w:sz w:val="24"/>
          <w:szCs w:val="24"/>
        </w:rPr>
        <w:t xml:space="preserve">. Notably, individuals between 60 and 69 had the most substantial fall in </w:t>
      </w:r>
      <w:r>
        <w:rPr>
          <w:rFonts w:cstheme="minorHAnsi"/>
          <w:sz w:val="24"/>
          <w:szCs w:val="24"/>
        </w:rPr>
        <w:t>ASIRs (</w:t>
      </w:r>
      <w:r w:rsidRPr="00B310C2">
        <w:rPr>
          <w:rFonts w:cstheme="minorHAnsi"/>
          <w:sz w:val="24"/>
          <w:szCs w:val="24"/>
        </w:rPr>
        <w:t>AAPC: -5.82% [-8.11, -3.49]</w:t>
      </w:r>
      <w:r>
        <w:rPr>
          <w:rFonts w:cstheme="minorHAnsi"/>
          <w:sz w:val="24"/>
          <w:szCs w:val="24"/>
        </w:rPr>
        <w:t>)</w:t>
      </w:r>
      <w:r w:rsidRPr="00B310C2">
        <w:rPr>
          <w:rFonts w:cstheme="minorHAnsi"/>
          <w:sz w:val="24"/>
          <w:szCs w:val="24"/>
        </w:rPr>
        <w:t xml:space="preserve"> (Table 5).</w:t>
      </w:r>
    </w:p>
    <w:p w14:paraId="27D8705C" w14:textId="77777777" w:rsidR="002E1760" w:rsidRPr="00B310C2" w:rsidRDefault="002E1760" w:rsidP="002E1760">
      <w:pPr>
        <w:bidi w:val="0"/>
        <w:spacing w:line="480" w:lineRule="auto"/>
        <w:jc w:val="both"/>
        <w:rPr>
          <w:rFonts w:cstheme="minorHAnsi"/>
          <w:sz w:val="24"/>
          <w:szCs w:val="24"/>
        </w:rPr>
      </w:pPr>
      <w:r w:rsidRPr="00B310C2">
        <w:rPr>
          <w:rFonts w:cstheme="minorHAnsi"/>
          <w:sz w:val="24"/>
          <w:szCs w:val="24"/>
        </w:rPr>
        <w:t>NHBs accounted for 9.42% of the cases of NSHL in men. A majority of NHB cases occurred in individuals between 20 and 29 years (32.88%). The overall ASIR per 100,00</w:t>
      </w:r>
      <w:r>
        <w:rPr>
          <w:rFonts w:cstheme="minorHAnsi"/>
          <w:sz w:val="24"/>
          <w:szCs w:val="24"/>
        </w:rPr>
        <w:t>0 population for NHBs was 1.46 (1.38, 1.53)</w:t>
      </w:r>
      <w:r w:rsidRPr="00B310C2">
        <w:rPr>
          <w:rFonts w:cstheme="minorHAnsi"/>
          <w:sz w:val="24"/>
          <w:szCs w:val="24"/>
        </w:rPr>
        <w:t>, and cases aged 20-29 years had the highest</w:t>
      </w:r>
      <w:r>
        <w:rPr>
          <w:rFonts w:cstheme="minorHAnsi"/>
          <w:sz w:val="24"/>
          <w:szCs w:val="24"/>
        </w:rPr>
        <w:t xml:space="preserve"> ASIR among all age groups (</w:t>
      </w:r>
      <w:r w:rsidRPr="00B310C2">
        <w:rPr>
          <w:rFonts w:cstheme="minorHAnsi"/>
          <w:sz w:val="24"/>
          <w:szCs w:val="24"/>
        </w:rPr>
        <w:t>2.09 [1.92, 2.27]</w:t>
      </w:r>
      <w:r>
        <w:rPr>
          <w:rFonts w:cstheme="minorHAnsi"/>
          <w:sz w:val="24"/>
          <w:szCs w:val="24"/>
        </w:rPr>
        <w:t>)</w:t>
      </w:r>
      <w:r w:rsidRPr="00B310C2">
        <w:rPr>
          <w:rFonts w:cstheme="minorHAnsi"/>
          <w:sz w:val="24"/>
          <w:szCs w:val="24"/>
        </w:rPr>
        <w:t xml:space="preserve">. </w:t>
      </w:r>
      <w:r>
        <w:rPr>
          <w:rFonts w:cstheme="minorHAnsi"/>
          <w:sz w:val="24"/>
          <w:szCs w:val="24"/>
        </w:rPr>
        <w:t xml:space="preserve">Although the overall AAPC was not </w:t>
      </w:r>
      <w:r w:rsidRPr="00B310C2">
        <w:rPr>
          <w:rFonts w:cstheme="minorHAnsi"/>
          <w:sz w:val="24"/>
          <w:szCs w:val="24"/>
        </w:rPr>
        <w:t xml:space="preserve">significant, those aged 30-39 years had the most significant decrease in </w:t>
      </w:r>
      <w:r>
        <w:rPr>
          <w:rFonts w:cstheme="minorHAnsi"/>
          <w:sz w:val="24"/>
          <w:szCs w:val="24"/>
        </w:rPr>
        <w:t>ASIRs (</w:t>
      </w:r>
      <w:r w:rsidRPr="00B310C2">
        <w:rPr>
          <w:rFonts w:cstheme="minorHAnsi"/>
          <w:sz w:val="24"/>
          <w:szCs w:val="24"/>
        </w:rPr>
        <w:t>AAPC: -3.11% [-5.45, -1</w:t>
      </w:r>
      <w:r>
        <w:rPr>
          <w:rFonts w:cstheme="minorHAnsi"/>
          <w:sz w:val="24"/>
          <w:szCs w:val="24"/>
        </w:rPr>
        <w:t>.00</w:t>
      </w:r>
      <w:r w:rsidRPr="00B310C2">
        <w:rPr>
          <w:rFonts w:cstheme="minorHAnsi"/>
          <w:sz w:val="24"/>
          <w:szCs w:val="24"/>
        </w:rPr>
        <w:t>]</w:t>
      </w:r>
      <w:r>
        <w:rPr>
          <w:rFonts w:cstheme="minorHAnsi"/>
          <w:sz w:val="24"/>
          <w:szCs w:val="24"/>
        </w:rPr>
        <w:t>)</w:t>
      </w:r>
      <w:r w:rsidRPr="00B310C2">
        <w:rPr>
          <w:rFonts w:cstheme="minorHAnsi"/>
          <w:sz w:val="24"/>
          <w:szCs w:val="24"/>
        </w:rPr>
        <w:t xml:space="preserve"> (Table 5).</w:t>
      </w:r>
    </w:p>
    <w:p w14:paraId="355B51C3" w14:textId="652CD9F2" w:rsidR="002E1760" w:rsidRPr="00B310C2" w:rsidRDefault="002E1760" w:rsidP="002E1760">
      <w:pPr>
        <w:bidi w:val="0"/>
        <w:spacing w:line="480" w:lineRule="auto"/>
        <w:jc w:val="both"/>
        <w:rPr>
          <w:rFonts w:cstheme="minorHAnsi"/>
          <w:sz w:val="24"/>
          <w:szCs w:val="24"/>
        </w:rPr>
      </w:pPr>
      <w:r w:rsidRPr="00B310C2">
        <w:rPr>
          <w:rFonts w:cstheme="minorHAnsi"/>
          <w:sz w:val="24"/>
          <w:szCs w:val="24"/>
        </w:rPr>
        <w:lastRenderedPageBreak/>
        <w:t xml:space="preserve">The majority of NHWs were between </w:t>
      </w:r>
      <w:r w:rsidR="00FF4760">
        <w:rPr>
          <w:rFonts w:cstheme="minorHAnsi"/>
          <w:sz w:val="24"/>
          <w:szCs w:val="24"/>
        </w:rPr>
        <w:t>20</w:t>
      </w:r>
      <w:r w:rsidR="00FF4760" w:rsidRPr="00B310C2">
        <w:rPr>
          <w:rFonts w:cstheme="minorHAnsi"/>
          <w:sz w:val="24"/>
          <w:szCs w:val="24"/>
        </w:rPr>
        <w:t xml:space="preserve"> </w:t>
      </w:r>
      <w:r w:rsidRPr="00B310C2">
        <w:rPr>
          <w:rFonts w:cstheme="minorHAnsi"/>
          <w:sz w:val="24"/>
          <w:szCs w:val="24"/>
        </w:rPr>
        <w:t xml:space="preserve">and </w:t>
      </w:r>
      <w:r w:rsidR="00FF4760">
        <w:rPr>
          <w:rFonts w:cstheme="minorHAnsi"/>
          <w:sz w:val="24"/>
          <w:szCs w:val="24"/>
        </w:rPr>
        <w:t>29</w:t>
      </w:r>
      <w:r w:rsidR="00FF4760" w:rsidRPr="00B310C2">
        <w:rPr>
          <w:rFonts w:cstheme="minorHAnsi"/>
          <w:sz w:val="24"/>
          <w:szCs w:val="24"/>
        </w:rPr>
        <w:t xml:space="preserve"> </w:t>
      </w:r>
      <w:r w:rsidRPr="00B310C2">
        <w:rPr>
          <w:rFonts w:cstheme="minorHAnsi"/>
          <w:sz w:val="24"/>
          <w:szCs w:val="24"/>
        </w:rPr>
        <w:t>years old (</w:t>
      </w:r>
      <w:r w:rsidR="00FF4760">
        <w:rPr>
          <w:rFonts w:cstheme="minorHAnsi"/>
          <w:sz w:val="24"/>
          <w:szCs w:val="24"/>
        </w:rPr>
        <w:t>29.21</w:t>
      </w:r>
      <w:r w:rsidRPr="00B310C2">
        <w:rPr>
          <w:rFonts w:cstheme="minorHAnsi"/>
          <w:sz w:val="24"/>
          <w:szCs w:val="24"/>
        </w:rPr>
        <w:t xml:space="preserve">%). The overall ASIR per 100,000 population for NHW men was 2.16 </w:t>
      </w:r>
      <w:r>
        <w:rPr>
          <w:rFonts w:cstheme="minorHAnsi"/>
          <w:sz w:val="24"/>
          <w:szCs w:val="24"/>
        </w:rPr>
        <w:t>(2.13, 2.20)</w:t>
      </w:r>
      <w:r w:rsidRPr="00B310C2">
        <w:rPr>
          <w:rFonts w:cstheme="minorHAnsi"/>
          <w:sz w:val="24"/>
          <w:szCs w:val="24"/>
        </w:rPr>
        <w:t>, with cases between 20 and 29 years old having the highest ASIR (3.54 [3.43, 3.66]). The overall AAPC for NHW between 2000 a</w:t>
      </w:r>
      <w:r>
        <w:rPr>
          <w:rFonts w:cstheme="minorHAnsi"/>
          <w:sz w:val="24"/>
          <w:szCs w:val="24"/>
        </w:rPr>
        <w:t>nd 2019 was -2.38 (-3.12, -1.75)</w:t>
      </w:r>
      <w:r w:rsidRPr="00B310C2">
        <w:rPr>
          <w:rFonts w:cstheme="minorHAnsi"/>
          <w:sz w:val="24"/>
          <w:szCs w:val="24"/>
        </w:rPr>
        <w:t xml:space="preserve"> (Table 5).</w:t>
      </w:r>
    </w:p>
    <w:p w14:paraId="0B5C859A" w14:textId="77777777" w:rsidR="002E1760" w:rsidRPr="002E1760" w:rsidRDefault="002E1760" w:rsidP="002E1760">
      <w:pPr>
        <w:bidi w:val="0"/>
        <w:spacing w:line="480" w:lineRule="auto"/>
        <w:jc w:val="both"/>
        <w:rPr>
          <w:rFonts w:cstheme="minorHAnsi"/>
          <w:b/>
          <w:bCs/>
          <w:sz w:val="24"/>
          <w:szCs w:val="24"/>
        </w:rPr>
      </w:pPr>
      <w:r w:rsidRPr="002E1760">
        <w:rPr>
          <w:rFonts w:cstheme="minorHAnsi"/>
          <w:b/>
          <w:bCs/>
          <w:sz w:val="24"/>
          <w:szCs w:val="24"/>
        </w:rPr>
        <w:t xml:space="preserve">Women </w:t>
      </w:r>
    </w:p>
    <w:p w14:paraId="777E1DAA" w14:textId="77777777" w:rsidR="002E1760" w:rsidRPr="00B310C2" w:rsidRDefault="002E1760" w:rsidP="002E1760">
      <w:pPr>
        <w:spacing w:line="480" w:lineRule="auto"/>
        <w:jc w:val="both"/>
        <w:rPr>
          <w:rFonts w:cstheme="minorHAnsi"/>
          <w:sz w:val="24"/>
          <w:szCs w:val="24"/>
        </w:rPr>
      </w:pPr>
      <w:r w:rsidRPr="00B310C2">
        <w:rPr>
          <w:rFonts w:cstheme="minorHAnsi"/>
          <w:sz w:val="24"/>
          <w:szCs w:val="24"/>
        </w:rPr>
        <w:t>Between 2000 and 2019, a total of 17,684 cases of NSHL were documented in women. The majority of these cases were observed among NHWs, accounting for 72.10%. Notably, the age group between 20 and 29 years old had the highest number of reported cases, comprising 37.02% of the total. Additionally, this age group exhibited the highest ASIR at 3.2</w:t>
      </w:r>
      <w:r>
        <w:rPr>
          <w:rFonts w:cstheme="minorHAnsi"/>
          <w:sz w:val="24"/>
          <w:szCs w:val="24"/>
        </w:rPr>
        <w:t>0 (3.12, 3.27)</w:t>
      </w:r>
      <w:r w:rsidRPr="00B310C2">
        <w:rPr>
          <w:rFonts w:cstheme="minorHAnsi"/>
          <w:sz w:val="24"/>
          <w:szCs w:val="24"/>
        </w:rPr>
        <w:t>. A noteworthy trend was observed in individuals aged 60-69, who experienced a substantial decline in ASIR</w:t>
      </w:r>
      <w:r>
        <w:rPr>
          <w:rFonts w:cstheme="minorHAnsi"/>
          <w:sz w:val="24"/>
          <w:szCs w:val="24"/>
        </w:rPr>
        <w:t>s</w:t>
      </w:r>
      <w:r w:rsidRPr="00B310C2">
        <w:rPr>
          <w:rFonts w:cstheme="minorHAnsi"/>
          <w:sz w:val="24"/>
          <w:szCs w:val="24"/>
        </w:rPr>
        <w:t xml:space="preserve"> over the period 200</w:t>
      </w:r>
      <w:r>
        <w:rPr>
          <w:rFonts w:cstheme="minorHAnsi"/>
          <w:sz w:val="24"/>
          <w:szCs w:val="24"/>
        </w:rPr>
        <w:t>0-2019, with an AAPC of -3.35% (-4.68, -2.01)</w:t>
      </w:r>
      <w:r w:rsidRPr="00B310C2">
        <w:rPr>
          <w:rFonts w:cstheme="minorHAnsi"/>
          <w:sz w:val="24"/>
          <w:szCs w:val="24"/>
        </w:rPr>
        <w:t xml:space="preserve"> (Table 5). </w:t>
      </w:r>
    </w:p>
    <w:p w14:paraId="3C44EFDB" w14:textId="77777777" w:rsidR="002E1760" w:rsidRPr="00B310C2" w:rsidRDefault="002E1760" w:rsidP="002E1760">
      <w:pPr>
        <w:bidi w:val="0"/>
        <w:spacing w:line="480" w:lineRule="auto"/>
        <w:jc w:val="both"/>
        <w:rPr>
          <w:rFonts w:cstheme="minorHAnsi"/>
          <w:sz w:val="24"/>
          <w:szCs w:val="24"/>
        </w:rPr>
      </w:pPr>
      <w:r w:rsidRPr="00B310C2">
        <w:rPr>
          <w:rFonts w:cstheme="minorHAnsi"/>
          <w:sz w:val="24"/>
          <w:szCs w:val="24"/>
        </w:rPr>
        <w:t xml:space="preserve">Hispanics constituted 15.19% of the cases of NSHL in women, with a </w:t>
      </w:r>
      <w:r>
        <w:rPr>
          <w:rFonts w:cstheme="minorHAnsi"/>
          <w:sz w:val="24"/>
          <w:szCs w:val="24"/>
        </w:rPr>
        <w:t>large</w:t>
      </w:r>
      <w:r w:rsidRPr="00B310C2">
        <w:rPr>
          <w:rFonts w:cstheme="minorHAnsi"/>
          <w:sz w:val="24"/>
          <w:szCs w:val="24"/>
        </w:rPr>
        <w:t xml:space="preserve"> proportion in the 20 to 29-year age group (42.81%). The overall ASIR per 100,000 population for His</w:t>
      </w:r>
      <w:r>
        <w:rPr>
          <w:rFonts w:cstheme="minorHAnsi"/>
          <w:sz w:val="24"/>
          <w:szCs w:val="24"/>
        </w:rPr>
        <w:t>panic women was 1.17 (1.12, 1.20)</w:t>
      </w:r>
      <w:r w:rsidRPr="00B310C2">
        <w:rPr>
          <w:rFonts w:cstheme="minorHAnsi"/>
          <w:sz w:val="24"/>
          <w:szCs w:val="24"/>
        </w:rPr>
        <w:t>, with cases in the 20-29 age group having the highest ASIR among other age groups (2.06 [1.95, 2.19]). The overall</w:t>
      </w:r>
      <w:r>
        <w:rPr>
          <w:rFonts w:cstheme="minorHAnsi"/>
          <w:sz w:val="24"/>
          <w:szCs w:val="24"/>
        </w:rPr>
        <w:t xml:space="preserve"> AAPC in this group was -2.64% (-3.56, -1.71). A</w:t>
      </w:r>
      <w:r w:rsidRPr="00B310C2">
        <w:rPr>
          <w:rFonts w:cstheme="minorHAnsi"/>
          <w:sz w:val="24"/>
          <w:szCs w:val="24"/>
        </w:rPr>
        <w:t>mong</w:t>
      </w:r>
      <w:r>
        <w:rPr>
          <w:rFonts w:cstheme="minorHAnsi"/>
          <w:sz w:val="24"/>
          <w:szCs w:val="24"/>
        </w:rPr>
        <w:t xml:space="preserve"> </w:t>
      </w:r>
      <w:r w:rsidRPr="00B310C2">
        <w:rPr>
          <w:rFonts w:cstheme="minorHAnsi"/>
          <w:sz w:val="24"/>
          <w:szCs w:val="24"/>
        </w:rPr>
        <w:t>the age groups, those between 60 and 69 had the most significant drop in ASIR</w:t>
      </w:r>
      <w:r>
        <w:rPr>
          <w:rFonts w:cstheme="minorHAnsi"/>
          <w:sz w:val="24"/>
          <w:szCs w:val="24"/>
        </w:rPr>
        <w:t>s</w:t>
      </w:r>
      <w:r w:rsidRPr="00B310C2">
        <w:rPr>
          <w:rFonts w:cstheme="minorHAnsi"/>
          <w:sz w:val="24"/>
          <w:szCs w:val="24"/>
        </w:rPr>
        <w:t xml:space="preserve"> with an AAP</w:t>
      </w:r>
      <w:r>
        <w:rPr>
          <w:rFonts w:cstheme="minorHAnsi"/>
          <w:sz w:val="24"/>
          <w:szCs w:val="24"/>
        </w:rPr>
        <w:t>C of -5.57% (-9.48, -1.57)</w:t>
      </w:r>
      <w:r w:rsidRPr="00B310C2">
        <w:rPr>
          <w:rFonts w:cstheme="minorHAnsi"/>
          <w:sz w:val="24"/>
          <w:szCs w:val="24"/>
        </w:rPr>
        <w:t xml:space="preserve"> (Table 5).</w:t>
      </w:r>
    </w:p>
    <w:p w14:paraId="3BB26A05" w14:textId="77777777" w:rsidR="002E1760" w:rsidRPr="00B310C2" w:rsidRDefault="002E1760" w:rsidP="002E1760">
      <w:pPr>
        <w:bidi w:val="0"/>
        <w:spacing w:line="480" w:lineRule="auto"/>
        <w:jc w:val="both"/>
        <w:rPr>
          <w:rFonts w:cstheme="minorHAnsi"/>
          <w:sz w:val="24"/>
          <w:szCs w:val="24"/>
        </w:rPr>
      </w:pPr>
      <w:r w:rsidRPr="00B310C2">
        <w:rPr>
          <w:rFonts w:cstheme="minorHAnsi"/>
          <w:sz w:val="24"/>
          <w:szCs w:val="24"/>
        </w:rPr>
        <w:t>Among all reported cases, 10.10% were NHBs. The majority of cases were between 20 and 29 years old (37.18%). The overall ASIR p</w:t>
      </w:r>
      <w:r>
        <w:rPr>
          <w:rFonts w:cstheme="minorHAnsi"/>
          <w:sz w:val="24"/>
          <w:szCs w:val="24"/>
        </w:rPr>
        <w:t>er 100,000 population was 1.36 (1.29, 1.42)</w:t>
      </w:r>
      <w:r w:rsidRPr="00B310C2">
        <w:rPr>
          <w:rFonts w:cstheme="minorHAnsi"/>
          <w:sz w:val="24"/>
          <w:szCs w:val="24"/>
        </w:rPr>
        <w:t>, with cases between 20 and 29 years having the highest ASIR (2.44 [2.26, 2.63]). The overall</w:t>
      </w:r>
      <w:r>
        <w:rPr>
          <w:rFonts w:cstheme="minorHAnsi"/>
          <w:sz w:val="24"/>
          <w:szCs w:val="24"/>
        </w:rPr>
        <w:t xml:space="preserve"> AAPC for this group was -1.89% (-2.81, -0.98)</w:t>
      </w:r>
      <w:r w:rsidRPr="00B310C2">
        <w:rPr>
          <w:rFonts w:cstheme="minorHAnsi"/>
          <w:sz w:val="24"/>
          <w:szCs w:val="24"/>
        </w:rPr>
        <w:t xml:space="preserve"> (Table 5).</w:t>
      </w:r>
    </w:p>
    <w:p w14:paraId="469A03E7" w14:textId="04B21599" w:rsidR="002E1760" w:rsidRPr="00B310C2" w:rsidRDefault="002E1760" w:rsidP="002E1760">
      <w:pPr>
        <w:bidi w:val="0"/>
        <w:spacing w:line="480" w:lineRule="auto"/>
        <w:jc w:val="both"/>
        <w:rPr>
          <w:rFonts w:cstheme="minorHAnsi"/>
          <w:sz w:val="24"/>
          <w:szCs w:val="24"/>
        </w:rPr>
      </w:pPr>
      <w:r w:rsidRPr="00B310C2">
        <w:rPr>
          <w:rFonts w:cstheme="minorHAnsi"/>
          <w:sz w:val="24"/>
          <w:szCs w:val="24"/>
        </w:rPr>
        <w:lastRenderedPageBreak/>
        <w:t>The majority of NHW cases were in the 20 to 29 age group (</w:t>
      </w:r>
      <w:r w:rsidR="00FF4760">
        <w:rPr>
          <w:rFonts w:cstheme="minorHAnsi"/>
          <w:sz w:val="24"/>
          <w:szCs w:val="24"/>
        </w:rPr>
        <w:t>34.90</w:t>
      </w:r>
      <w:r w:rsidRPr="00B310C2">
        <w:rPr>
          <w:rFonts w:cstheme="minorHAnsi"/>
          <w:sz w:val="24"/>
          <w:szCs w:val="24"/>
        </w:rPr>
        <w:t>%). The overall ASIR per 100,000 population was 2.1</w:t>
      </w:r>
      <w:r>
        <w:rPr>
          <w:rFonts w:cstheme="minorHAnsi"/>
          <w:sz w:val="24"/>
          <w:szCs w:val="24"/>
        </w:rPr>
        <w:t>0 (2.06, 2.14)</w:t>
      </w:r>
      <w:r w:rsidRPr="00B310C2">
        <w:rPr>
          <w:rFonts w:cstheme="minorHAnsi"/>
          <w:sz w:val="24"/>
          <w:szCs w:val="24"/>
        </w:rPr>
        <w:t xml:space="preserve">, with cases in the 20-29 age group having the </w:t>
      </w:r>
      <w:bookmarkStart w:id="2" w:name="_GoBack"/>
      <w:bookmarkEnd w:id="2"/>
      <w:r w:rsidRPr="00B310C2">
        <w:rPr>
          <w:rFonts w:cstheme="minorHAnsi"/>
          <w:sz w:val="24"/>
          <w:szCs w:val="24"/>
        </w:rPr>
        <w:t>highest ASIR (4.22 [4.1</w:t>
      </w:r>
      <w:r>
        <w:rPr>
          <w:rFonts w:cstheme="minorHAnsi"/>
          <w:sz w:val="24"/>
          <w:szCs w:val="24"/>
        </w:rPr>
        <w:t>0</w:t>
      </w:r>
      <w:r w:rsidRPr="00B310C2">
        <w:rPr>
          <w:rFonts w:cstheme="minorHAnsi"/>
          <w:sz w:val="24"/>
          <w:szCs w:val="24"/>
        </w:rPr>
        <w:t>, 4.35]). NHWs experienced a significant drop in ASIR</w:t>
      </w:r>
      <w:r>
        <w:rPr>
          <w:rFonts w:cstheme="minorHAnsi"/>
          <w:sz w:val="24"/>
          <w:szCs w:val="24"/>
        </w:rPr>
        <w:t>s</w:t>
      </w:r>
      <w:r w:rsidRPr="00B310C2">
        <w:rPr>
          <w:rFonts w:cstheme="minorHAnsi"/>
          <w:sz w:val="24"/>
          <w:szCs w:val="24"/>
        </w:rPr>
        <w:t xml:space="preserve"> between 2000 and 2019 (AAPC: -1.99% [-2.86, -1.4</w:t>
      </w:r>
      <w:r>
        <w:rPr>
          <w:rFonts w:cstheme="minorHAnsi"/>
          <w:sz w:val="24"/>
          <w:szCs w:val="24"/>
        </w:rPr>
        <w:t>0</w:t>
      </w:r>
      <w:r w:rsidRPr="00B310C2">
        <w:rPr>
          <w:rFonts w:cstheme="minorHAnsi"/>
          <w:sz w:val="24"/>
          <w:szCs w:val="24"/>
        </w:rPr>
        <w:t>]) (Table 5).</w:t>
      </w:r>
    </w:p>
    <w:p w14:paraId="1D9496B4" w14:textId="77777777" w:rsidR="00854153" w:rsidRDefault="00854153" w:rsidP="00854153">
      <w:pPr>
        <w:bidi w:val="0"/>
        <w:spacing w:line="480" w:lineRule="auto"/>
        <w:jc w:val="both"/>
        <w:rPr>
          <w:rFonts w:cstheme="minorHAnsi"/>
          <w:sz w:val="24"/>
          <w:szCs w:val="24"/>
        </w:rPr>
      </w:pPr>
    </w:p>
    <w:p w14:paraId="68662C70" w14:textId="77777777" w:rsidR="00836CC6" w:rsidRPr="00836CC6" w:rsidRDefault="00836CC6" w:rsidP="00836CC6">
      <w:pPr>
        <w:bidi w:val="0"/>
        <w:spacing w:line="480" w:lineRule="auto"/>
        <w:jc w:val="both"/>
        <w:rPr>
          <w:rFonts w:cstheme="minorHAnsi"/>
          <w:b/>
          <w:bCs/>
          <w:sz w:val="24"/>
          <w:szCs w:val="24"/>
        </w:rPr>
      </w:pPr>
      <w:r w:rsidRPr="00836CC6">
        <w:rPr>
          <w:rFonts w:cstheme="minorHAnsi"/>
          <w:b/>
          <w:bCs/>
          <w:sz w:val="24"/>
          <w:szCs w:val="24"/>
        </w:rPr>
        <w:t>Classical Hodgkin lymphoma not otherwise specified (CHL-NOS)</w:t>
      </w:r>
    </w:p>
    <w:p w14:paraId="32C3B59B" w14:textId="77777777" w:rsidR="00836CC6" w:rsidRPr="00836CC6" w:rsidRDefault="00836CC6" w:rsidP="00836CC6">
      <w:pPr>
        <w:bidi w:val="0"/>
        <w:spacing w:line="480" w:lineRule="auto"/>
        <w:jc w:val="both"/>
        <w:rPr>
          <w:rFonts w:cstheme="minorHAnsi"/>
          <w:b/>
          <w:bCs/>
          <w:sz w:val="24"/>
          <w:szCs w:val="24"/>
        </w:rPr>
      </w:pPr>
      <w:r w:rsidRPr="00836CC6">
        <w:rPr>
          <w:rFonts w:cstheme="minorHAnsi"/>
          <w:b/>
          <w:bCs/>
          <w:sz w:val="24"/>
          <w:szCs w:val="24"/>
        </w:rPr>
        <w:t>Men</w:t>
      </w:r>
    </w:p>
    <w:p w14:paraId="191ACAE3" w14:textId="77777777" w:rsidR="00836CC6" w:rsidRPr="00B310C2" w:rsidRDefault="00836CC6" w:rsidP="00836CC6">
      <w:pPr>
        <w:pStyle w:val="ListParagraph"/>
        <w:spacing w:line="480" w:lineRule="auto"/>
        <w:ind w:left="0"/>
        <w:jc w:val="both"/>
        <w:rPr>
          <w:rFonts w:asciiTheme="minorHAnsi" w:hAnsiTheme="minorHAnsi" w:cstheme="minorHAnsi"/>
          <w:sz w:val="24"/>
          <w:szCs w:val="24"/>
        </w:rPr>
      </w:pPr>
      <w:r w:rsidRPr="00B310C2">
        <w:rPr>
          <w:rFonts w:asciiTheme="minorHAnsi" w:hAnsiTheme="minorHAnsi" w:cstheme="minorHAnsi"/>
          <w:sz w:val="24"/>
          <w:szCs w:val="24"/>
        </w:rPr>
        <w:t>A total of 11</w:t>
      </w:r>
      <w:r>
        <w:rPr>
          <w:rFonts w:asciiTheme="minorHAnsi" w:hAnsiTheme="minorHAnsi" w:cstheme="minorHAnsi"/>
          <w:sz w:val="24"/>
          <w:szCs w:val="24"/>
        </w:rPr>
        <w:t>,</w:t>
      </w:r>
      <w:r w:rsidRPr="00B310C2">
        <w:rPr>
          <w:rFonts w:asciiTheme="minorHAnsi" w:hAnsiTheme="minorHAnsi" w:cstheme="minorHAnsi"/>
          <w:sz w:val="24"/>
          <w:szCs w:val="24"/>
        </w:rPr>
        <w:t>663 cases of CHL-NOS were reported in men over 2000-2019. The majority of the cases were NHWs (62.55%) and between 50 and 59 years (17.23%). Cases over 80 had the highest reported ASIR per 100,000 population (2.4</w:t>
      </w:r>
      <w:r>
        <w:rPr>
          <w:rFonts w:asciiTheme="minorHAnsi" w:hAnsiTheme="minorHAnsi" w:cstheme="minorHAnsi"/>
          <w:sz w:val="24"/>
          <w:szCs w:val="24"/>
        </w:rPr>
        <w:t>0</w:t>
      </w:r>
      <w:r w:rsidRPr="00B310C2">
        <w:rPr>
          <w:rFonts w:asciiTheme="minorHAnsi" w:hAnsiTheme="minorHAnsi" w:cstheme="minorHAnsi"/>
          <w:sz w:val="24"/>
          <w:szCs w:val="24"/>
        </w:rPr>
        <w:t xml:space="preserve"> [2.24, 2.56]). Additionally, the same group exhibited the </w:t>
      </w:r>
      <w:r>
        <w:rPr>
          <w:rFonts w:asciiTheme="minorHAnsi" w:hAnsiTheme="minorHAnsi" w:cstheme="minorHAnsi"/>
          <w:sz w:val="24"/>
          <w:szCs w:val="24"/>
        </w:rPr>
        <w:t xml:space="preserve">largest </w:t>
      </w:r>
      <w:r w:rsidRPr="00B310C2">
        <w:rPr>
          <w:rFonts w:asciiTheme="minorHAnsi" w:hAnsiTheme="minorHAnsi" w:cstheme="minorHAnsi"/>
          <w:sz w:val="24"/>
          <w:szCs w:val="24"/>
        </w:rPr>
        <w:t>increase in ASIR</w:t>
      </w:r>
      <w:r>
        <w:rPr>
          <w:rFonts w:asciiTheme="minorHAnsi" w:hAnsiTheme="minorHAnsi" w:cstheme="minorHAnsi"/>
          <w:sz w:val="24"/>
          <w:szCs w:val="24"/>
        </w:rPr>
        <w:t>s b</w:t>
      </w:r>
      <w:r w:rsidRPr="00B310C2">
        <w:rPr>
          <w:rFonts w:asciiTheme="minorHAnsi" w:hAnsiTheme="minorHAnsi" w:cstheme="minorHAnsi"/>
          <w:sz w:val="24"/>
          <w:szCs w:val="24"/>
        </w:rPr>
        <w:t xml:space="preserve">etween 2000 and 2019 </w:t>
      </w:r>
      <w:r>
        <w:rPr>
          <w:rFonts w:asciiTheme="minorHAnsi" w:hAnsiTheme="minorHAnsi" w:cstheme="minorHAnsi"/>
          <w:sz w:val="24"/>
          <w:szCs w:val="24"/>
        </w:rPr>
        <w:t>(</w:t>
      </w:r>
      <w:r w:rsidRPr="00B310C2">
        <w:rPr>
          <w:rFonts w:asciiTheme="minorHAnsi" w:hAnsiTheme="minorHAnsi" w:cstheme="minorHAnsi"/>
          <w:sz w:val="24"/>
          <w:szCs w:val="24"/>
        </w:rPr>
        <w:t>AAPC</w:t>
      </w:r>
      <w:r>
        <w:rPr>
          <w:rFonts w:asciiTheme="minorHAnsi" w:hAnsiTheme="minorHAnsi" w:cstheme="minorHAnsi"/>
          <w:sz w:val="24"/>
          <w:szCs w:val="24"/>
        </w:rPr>
        <w:t>:</w:t>
      </w:r>
      <w:r w:rsidRPr="00B310C2">
        <w:rPr>
          <w:rFonts w:asciiTheme="minorHAnsi" w:hAnsiTheme="minorHAnsi" w:cstheme="minorHAnsi"/>
          <w:sz w:val="24"/>
          <w:szCs w:val="24"/>
        </w:rPr>
        <w:t xml:space="preserve"> 6.42% [0.83, 13.02]</w:t>
      </w:r>
      <w:r>
        <w:rPr>
          <w:rFonts w:asciiTheme="minorHAnsi" w:hAnsiTheme="minorHAnsi" w:cstheme="minorHAnsi"/>
          <w:sz w:val="24"/>
          <w:szCs w:val="24"/>
        </w:rPr>
        <w:t>)</w:t>
      </w:r>
      <w:r w:rsidRPr="00B310C2">
        <w:rPr>
          <w:rFonts w:asciiTheme="minorHAnsi" w:hAnsiTheme="minorHAnsi" w:cstheme="minorHAnsi"/>
          <w:sz w:val="24"/>
          <w:szCs w:val="24"/>
        </w:rPr>
        <w:t xml:space="preserve"> (Table 6).</w:t>
      </w:r>
    </w:p>
    <w:p w14:paraId="33E61632" w14:textId="77777777" w:rsidR="00836CC6" w:rsidRPr="00B310C2" w:rsidRDefault="00836CC6" w:rsidP="00836CC6">
      <w:pPr>
        <w:pStyle w:val="ListParagraph"/>
        <w:spacing w:line="480" w:lineRule="auto"/>
        <w:ind w:left="0"/>
        <w:jc w:val="both"/>
        <w:rPr>
          <w:rFonts w:asciiTheme="minorHAnsi" w:hAnsiTheme="minorHAnsi" w:cstheme="minorHAnsi"/>
          <w:sz w:val="24"/>
          <w:szCs w:val="24"/>
        </w:rPr>
      </w:pPr>
      <w:r w:rsidRPr="00B310C2">
        <w:rPr>
          <w:rFonts w:asciiTheme="minorHAnsi" w:hAnsiTheme="minorHAnsi" w:cstheme="minorHAnsi"/>
          <w:sz w:val="24"/>
          <w:szCs w:val="24"/>
        </w:rPr>
        <w:t xml:space="preserve">Of all the reported cases, </w:t>
      </w:r>
      <w:bookmarkStart w:id="3" w:name="_Hlk153396991"/>
      <w:r w:rsidRPr="00B310C2">
        <w:rPr>
          <w:rFonts w:asciiTheme="minorHAnsi" w:hAnsiTheme="minorHAnsi" w:cstheme="minorHAnsi"/>
          <w:sz w:val="24"/>
          <w:szCs w:val="24"/>
        </w:rPr>
        <w:t>2</w:t>
      </w:r>
      <w:r>
        <w:rPr>
          <w:rFonts w:asciiTheme="minorHAnsi" w:hAnsiTheme="minorHAnsi" w:cstheme="minorHAnsi"/>
          <w:sz w:val="24"/>
          <w:szCs w:val="24"/>
        </w:rPr>
        <w:t>,</w:t>
      </w:r>
      <w:r w:rsidRPr="00B310C2">
        <w:rPr>
          <w:rFonts w:asciiTheme="minorHAnsi" w:hAnsiTheme="minorHAnsi" w:cstheme="minorHAnsi"/>
          <w:sz w:val="24"/>
          <w:szCs w:val="24"/>
        </w:rPr>
        <w:t>309</w:t>
      </w:r>
      <w:bookmarkEnd w:id="3"/>
      <w:r w:rsidRPr="00B310C2">
        <w:rPr>
          <w:rFonts w:asciiTheme="minorHAnsi" w:hAnsiTheme="minorHAnsi" w:cstheme="minorHAnsi"/>
          <w:sz w:val="24"/>
          <w:szCs w:val="24"/>
        </w:rPr>
        <w:t xml:space="preserve"> (19.80%) were Hispanics. The majority of cases were in the 30-39 age group (17.67%). The overall ASIR p</w:t>
      </w:r>
      <w:r>
        <w:rPr>
          <w:rFonts w:asciiTheme="minorHAnsi" w:hAnsiTheme="minorHAnsi" w:cstheme="minorHAnsi"/>
          <w:sz w:val="24"/>
          <w:szCs w:val="24"/>
        </w:rPr>
        <w:t>er 100,000 population was 1.37 (1.31, 1.44). Cases between 70 and</w:t>
      </w:r>
      <w:r w:rsidRPr="00B310C2">
        <w:rPr>
          <w:rFonts w:asciiTheme="minorHAnsi" w:hAnsiTheme="minorHAnsi" w:cstheme="minorHAnsi"/>
          <w:sz w:val="24"/>
          <w:szCs w:val="24"/>
        </w:rPr>
        <w:t xml:space="preserve"> 79 </w:t>
      </w:r>
      <w:r>
        <w:rPr>
          <w:rFonts w:asciiTheme="minorHAnsi" w:hAnsiTheme="minorHAnsi" w:cstheme="minorHAnsi"/>
          <w:sz w:val="24"/>
          <w:szCs w:val="24"/>
        </w:rPr>
        <w:t xml:space="preserve">years </w:t>
      </w:r>
      <w:r w:rsidRPr="00B310C2">
        <w:rPr>
          <w:rFonts w:asciiTheme="minorHAnsi" w:hAnsiTheme="minorHAnsi" w:cstheme="minorHAnsi"/>
          <w:sz w:val="24"/>
          <w:szCs w:val="24"/>
        </w:rPr>
        <w:t>had the highest ASIR among other age groups (</w:t>
      </w:r>
      <w:bookmarkStart w:id="4" w:name="_Hlk153397266"/>
      <w:r w:rsidRPr="00B310C2">
        <w:rPr>
          <w:rFonts w:asciiTheme="minorHAnsi" w:hAnsiTheme="minorHAnsi" w:cstheme="minorHAnsi"/>
          <w:sz w:val="24"/>
          <w:szCs w:val="24"/>
        </w:rPr>
        <w:t>3.8</w:t>
      </w:r>
      <w:r>
        <w:rPr>
          <w:rFonts w:asciiTheme="minorHAnsi" w:hAnsiTheme="minorHAnsi" w:cstheme="minorHAnsi"/>
          <w:sz w:val="24"/>
          <w:szCs w:val="24"/>
        </w:rPr>
        <w:t>0</w:t>
      </w:r>
      <w:r w:rsidRPr="00B310C2">
        <w:rPr>
          <w:rFonts w:asciiTheme="minorHAnsi" w:hAnsiTheme="minorHAnsi" w:cstheme="minorHAnsi"/>
          <w:sz w:val="24"/>
          <w:szCs w:val="24"/>
        </w:rPr>
        <w:t xml:space="preserve"> [3.37, 4.28</w:t>
      </w:r>
      <w:bookmarkEnd w:id="4"/>
      <w:r w:rsidRPr="00B310C2">
        <w:rPr>
          <w:rFonts w:asciiTheme="minorHAnsi" w:hAnsiTheme="minorHAnsi" w:cstheme="minorHAnsi"/>
          <w:sz w:val="24"/>
          <w:szCs w:val="24"/>
        </w:rPr>
        <w:t>]). Hispanic men experienced a significant increase in ASIR</w:t>
      </w:r>
      <w:r>
        <w:rPr>
          <w:rFonts w:asciiTheme="minorHAnsi" w:hAnsiTheme="minorHAnsi" w:cstheme="minorHAnsi"/>
          <w:sz w:val="24"/>
          <w:szCs w:val="24"/>
        </w:rPr>
        <w:t>s</w:t>
      </w:r>
      <w:r w:rsidRPr="00B310C2">
        <w:rPr>
          <w:rFonts w:asciiTheme="minorHAnsi" w:hAnsiTheme="minorHAnsi" w:cstheme="minorHAnsi"/>
          <w:sz w:val="24"/>
          <w:szCs w:val="24"/>
        </w:rPr>
        <w:t xml:space="preserve"> from 2000-2019 (</w:t>
      </w:r>
      <w:r>
        <w:rPr>
          <w:rFonts w:asciiTheme="minorHAnsi" w:hAnsiTheme="minorHAnsi" w:cstheme="minorHAnsi"/>
          <w:sz w:val="24"/>
          <w:szCs w:val="24"/>
        </w:rPr>
        <w:t>AAPC: 3.01% [1.92, 4.43])</w:t>
      </w:r>
      <w:r w:rsidRPr="00B310C2">
        <w:rPr>
          <w:rFonts w:asciiTheme="minorHAnsi" w:hAnsiTheme="minorHAnsi" w:cstheme="minorHAnsi"/>
          <w:sz w:val="24"/>
          <w:szCs w:val="24"/>
        </w:rPr>
        <w:t xml:space="preserve"> (Table 6).</w:t>
      </w:r>
    </w:p>
    <w:p w14:paraId="1CEE4AB1" w14:textId="77777777" w:rsidR="00836CC6" w:rsidRPr="00B310C2" w:rsidRDefault="00836CC6" w:rsidP="00836CC6">
      <w:pPr>
        <w:pStyle w:val="ListParagraph"/>
        <w:spacing w:line="480" w:lineRule="auto"/>
        <w:ind w:left="0"/>
        <w:jc w:val="both"/>
        <w:rPr>
          <w:rFonts w:asciiTheme="minorHAnsi" w:hAnsiTheme="minorHAnsi" w:cstheme="minorHAnsi"/>
          <w:sz w:val="24"/>
          <w:szCs w:val="24"/>
        </w:rPr>
      </w:pPr>
      <w:r w:rsidRPr="00B310C2">
        <w:rPr>
          <w:rFonts w:asciiTheme="minorHAnsi" w:hAnsiTheme="minorHAnsi" w:cstheme="minorHAnsi"/>
          <w:sz w:val="24"/>
          <w:szCs w:val="24"/>
        </w:rPr>
        <w:t>NHBs consisted of 12.76% of the men with CHL-NOS. The majority of NHBs were between 40 and 49 years old (22.65%). The overall ASIR per 100,000 popula</w:t>
      </w:r>
      <w:r>
        <w:rPr>
          <w:rFonts w:asciiTheme="minorHAnsi" w:hAnsiTheme="minorHAnsi" w:cstheme="minorHAnsi"/>
          <w:sz w:val="24"/>
          <w:szCs w:val="24"/>
        </w:rPr>
        <w:t>tion was 1.37 (</w:t>
      </w:r>
      <w:r w:rsidRPr="00B310C2">
        <w:rPr>
          <w:rFonts w:asciiTheme="minorHAnsi" w:hAnsiTheme="minorHAnsi" w:cstheme="minorHAnsi"/>
          <w:sz w:val="24"/>
          <w:szCs w:val="24"/>
        </w:rPr>
        <w:t>1.3</w:t>
      </w:r>
      <w:r>
        <w:rPr>
          <w:rFonts w:asciiTheme="minorHAnsi" w:hAnsiTheme="minorHAnsi" w:cstheme="minorHAnsi"/>
          <w:sz w:val="24"/>
          <w:szCs w:val="24"/>
        </w:rPr>
        <w:t>0, 1.45), and the cases between 50 and 5</w:t>
      </w:r>
      <w:r w:rsidRPr="00B310C2">
        <w:rPr>
          <w:rFonts w:asciiTheme="minorHAnsi" w:hAnsiTheme="minorHAnsi" w:cstheme="minorHAnsi"/>
          <w:sz w:val="24"/>
          <w:szCs w:val="24"/>
        </w:rPr>
        <w:t>9 years had the highest ASIR among other age groups (1.57 [1.4</w:t>
      </w:r>
      <w:r>
        <w:rPr>
          <w:rFonts w:asciiTheme="minorHAnsi" w:hAnsiTheme="minorHAnsi" w:cstheme="minorHAnsi"/>
          <w:sz w:val="24"/>
          <w:szCs w:val="24"/>
        </w:rPr>
        <w:t>0, 1.76])</w:t>
      </w:r>
      <w:r w:rsidRPr="00B310C2">
        <w:rPr>
          <w:rFonts w:asciiTheme="minorHAnsi" w:hAnsiTheme="minorHAnsi" w:cstheme="minorHAnsi"/>
          <w:sz w:val="24"/>
          <w:szCs w:val="24"/>
        </w:rPr>
        <w:t>. NHBs experienced a substantial increase in</w:t>
      </w:r>
      <w:r>
        <w:rPr>
          <w:rFonts w:asciiTheme="minorHAnsi" w:hAnsiTheme="minorHAnsi" w:cstheme="minorHAnsi"/>
          <w:sz w:val="24"/>
          <w:szCs w:val="24"/>
        </w:rPr>
        <w:t xml:space="preserve"> ASIRs with an AAPC at 2.42% (1.36, 3.68)</w:t>
      </w:r>
      <w:r w:rsidRPr="00B310C2">
        <w:rPr>
          <w:rFonts w:asciiTheme="minorHAnsi" w:hAnsiTheme="minorHAnsi" w:cstheme="minorHAnsi"/>
          <w:sz w:val="24"/>
          <w:szCs w:val="24"/>
        </w:rPr>
        <w:t xml:space="preserve"> with cases in the 20-29 age groups having the highest AAPC compared to the other age grou</w:t>
      </w:r>
      <w:r>
        <w:rPr>
          <w:rFonts w:asciiTheme="minorHAnsi" w:hAnsiTheme="minorHAnsi" w:cstheme="minorHAnsi"/>
          <w:sz w:val="24"/>
          <w:szCs w:val="24"/>
        </w:rPr>
        <w:t>ps (AAPC: 3.58% [0.29, 8.21]) (T</w:t>
      </w:r>
      <w:r w:rsidRPr="00B310C2">
        <w:rPr>
          <w:rFonts w:asciiTheme="minorHAnsi" w:hAnsiTheme="minorHAnsi" w:cstheme="minorHAnsi"/>
          <w:sz w:val="24"/>
          <w:szCs w:val="24"/>
        </w:rPr>
        <w:t>able 6).</w:t>
      </w:r>
    </w:p>
    <w:p w14:paraId="7CB4298F" w14:textId="77777777" w:rsidR="00836CC6" w:rsidRPr="00B310C2" w:rsidRDefault="00836CC6" w:rsidP="00836CC6">
      <w:pPr>
        <w:pStyle w:val="ListParagraph"/>
        <w:spacing w:line="480" w:lineRule="auto"/>
        <w:ind w:left="0"/>
        <w:jc w:val="both"/>
        <w:rPr>
          <w:rFonts w:asciiTheme="minorHAnsi" w:hAnsiTheme="minorHAnsi" w:cstheme="minorHAnsi"/>
          <w:sz w:val="24"/>
          <w:szCs w:val="24"/>
        </w:rPr>
      </w:pPr>
      <w:r w:rsidRPr="00B310C2">
        <w:rPr>
          <w:rFonts w:asciiTheme="minorHAnsi" w:hAnsiTheme="minorHAnsi" w:cstheme="minorHAnsi"/>
          <w:sz w:val="24"/>
          <w:szCs w:val="24"/>
        </w:rPr>
        <w:lastRenderedPageBreak/>
        <w:t>There were 7</w:t>
      </w:r>
      <w:r>
        <w:rPr>
          <w:rFonts w:asciiTheme="minorHAnsi" w:hAnsiTheme="minorHAnsi" w:cstheme="minorHAnsi"/>
          <w:sz w:val="24"/>
          <w:szCs w:val="24"/>
        </w:rPr>
        <w:t>,</w:t>
      </w:r>
      <w:r w:rsidRPr="00B310C2">
        <w:rPr>
          <w:rFonts w:asciiTheme="minorHAnsi" w:hAnsiTheme="minorHAnsi" w:cstheme="minorHAnsi"/>
          <w:sz w:val="24"/>
          <w:szCs w:val="24"/>
        </w:rPr>
        <w:t>295 reported cases of NHWs. The majority of the cases were in the 60-69 age group years (16.60%). The overall ASIR per 100,000 populatio</w:t>
      </w:r>
      <w:r>
        <w:rPr>
          <w:rFonts w:asciiTheme="minorHAnsi" w:hAnsiTheme="minorHAnsi" w:cstheme="minorHAnsi"/>
          <w:sz w:val="24"/>
          <w:szCs w:val="24"/>
        </w:rPr>
        <w:t>n was 1.16 (1.13, 1.19)</w:t>
      </w:r>
      <w:r w:rsidRPr="00B310C2">
        <w:rPr>
          <w:rFonts w:asciiTheme="minorHAnsi" w:hAnsiTheme="minorHAnsi" w:cstheme="minorHAnsi"/>
          <w:sz w:val="24"/>
          <w:szCs w:val="24"/>
        </w:rPr>
        <w:t xml:space="preserve"> with cases over 80 years having the highest ASIR (2.43 [2.25, 2.62]). There was a</w:t>
      </w:r>
      <w:r>
        <w:rPr>
          <w:rFonts w:asciiTheme="minorHAnsi" w:hAnsiTheme="minorHAnsi" w:cstheme="minorHAnsi"/>
          <w:sz w:val="24"/>
          <w:szCs w:val="24"/>
        </w:rPr>
        <w:t>n</w:t>
      </w:r>
      <w:r w:rsidRPr="00B310C2">
        <w:rPr>
          <w:rFonts w:asciiTheme="minorHAnsi" w:hAnsiTheme="minorHAnsi" w:cstheme="minorHAnsi"/>
          <w:sz w:val="24"/>
          <w:szCs w:val="24"/>
        </w:rPr>
        <w:t xml:space="preserve"> increase in </w:t>
      </w:r>
      <w:r>
        <w:rPr>
          <w:rFonts w:asciiTheme="minorHAnsi" w:hAnsiTheme="minorHAnsi" w:cstheme="minorHAnsi"/>
          <w:sz w:val="24"/>
          <w:szCs w:val="24"/>
        </w:rPr>
        <w:t>AAPC (</w:t>
      </w:r>
      <w:r w:rsidRPr="00B310C2">
        <w:rPr>
          <w:rFonts w:asciiTheme="minorHAnsi" w:hAnsiTheme="minorHAnsi" w:cstheme="minorHAnsi"/>
          <w:sz w:val="24"/>
          <w:szCs w:val="24"/>
        </w:rPr>
        <w:t>2.65% [2.09, 3.27]</w:t>
      </w:r>
      <w:r>
        <w:rPr>
          <w:rFonts w:asciiTheme="minorHAnsi" w:hAnsiTheme="minorHAnsi" w:cstheme="minorHAnsi"/>
          <w:sz w:val="24"/>
          <w:szCs w:val="24"/>
        </w:rPr>
        <w:t>)</w:t>
      </w:r>
      <w:r w:rsidRPr="00B310C2">
        <w:rPr>
          <w:rFonts w:asciiTheme="minorHAnsi" w:hAnsiTheme="minorHAnsi" w:cstheme="minorHAnsi"/>
          <w:sz w:val="24"/>
          <w:szCs w:val="24"/>
        </w:rPr>
        <w:t xml:space="preserve"> with individuals over 80 years having the</w:t>
      </w:r>
      <w:r>
        <w:rPr>
          <w:rFonts w:asciiTheme="minorHAnsi" w:hAnsiTheme="minorHAnsi" w:cstheme="minorHAnsi"/>
          <w:sz w:val="24"/>
          <w:szCs w:val="24"/>
        </w:rPr>
        <w:t xml:space="preserve"> highest</w:t>
      </w:r>
      <w:r w:rsidRPr="00B310C2">
        <w:rPr>
          <w:rFonts w:asciiTheme="minorHAnsi" w:hAnsiTheme="minorHAnsi" w:cstheme="minorHAnsi"/>
          <w:sz w:val="24"/>
          <w:szCs w:val="24"/>
        </w:rPr>
        <w:t xml:space="preserve"> increase in </w:t>
      </w:r>
      <w:r>
        <w:rPr>
          <w:rFonts w:asciiTheme="minorHAnsi" w:hAnsiTheme="minorHAnsi" w:cstheme="minorHAnsi"/>
          <w:sz w:val="24"/>
          <w:szCs w:val="24"/>
        </w:rPr>
        <w:t xml:space="preserve">ASIRs </w:t>
      </w:r>
      <w:r w:rsidRPr="00B310C2">
        <w:rPr>
          <w:rFonts w:asciiTheme="minorHAnsi" w:hAnsiTheme="minorHAnsi" w:cstheme="minorHAnsi"/>
          <w:sz w:val="24"/>
          <w:szCs w:val="24"/>
        </w:rPr>
        <w:t>compared to the other ag</w:t>
      </w:r>
      <w:r>
        <w:rPr>
          <w:rFonts w:asciiTheme="minorHAnsi" w:hAnsiTheme="minorHAnsi" w:cstheme="minorHAnsi"/>
          <w:sz w:val="24"/>
          <w:szCs w:val="24"/>
        </w:rPr>
        <w:t>e groups with an AAPC of 5.56% (0.46, 11.31)</w:t>
      </w:r>
      <w:r w:rsidRPr="00B310C2">
        <w:rPr>
          <w:rFonts w:asciiTheme="minorHAnsi" w:hAnsiTheme="minorHAnsi" w:cstheme="minorHAnsi"/>
          <w:sz w:val="24"/>
          <w:szCs w:val="24"/>
        </w:rPr>
        <w:t xml:space="preserve"> (Table 6).</w:t>
      </w:r>
    </w:p>
    <w:p w14:paraId="26AB5B2C" w14:textId="77777777" w:rsidR="00836CC6" w:rsidRPr="00836CC6" w:rsidRDefault="00836CC6" w:rsidP="00836CC6">
      <w:pPr>
        <w:bidi w:val="0"/>
        <w:spacing w:line="480" w:lineRule="auto"/>
        <w:jc w:val="both"/>
        <w:rPr>
          <w:rFonts w:cstheme="minorHAnsi"/>
          <w:b/>
          <w:bCs/>
          <w:sz w:val="24"/>
          <w:szCs w:val="24"/>
        </w:rPr>
      </w:pPr>
      <w:r w:rsidRPr="00836CC6">
        <w:rPr>
          <w:rFonts w:cstheme="minorHAnsi"/>
          <w:b/>
          <w:bCs/>
          <w:sz w:val="24"/>
          <w:szCs w:val="24"/>
        </w:rPr>
        <w:t xml:space="preserve">Women </w:t>
      </w:r>
    </w:p>
    <w:p w14:paraId="16D56328" w14:textId="77777777" w:rsidR="00836CC6" w:rsidRPr="00B310C2" w:rsidRDefault="00836CC6" w:rsidP="00836CC6">
      <w:pPr>
        <w:bidi w:val="0"/>
        <w:spacing w:line="480" w:lineRule="auto"/>
        <w:jc w:val="both"/>
        <w:rPr>
          <w:rFonts w:cstheme="minorHAnsi"/>
          <w:sz w:val="24"/>
          <w:szCs w:val="24"/>
        </w:rPr>
      </w:pPr>
      <w:r w:rsidRPr="00B310C2">
        <w:rPr>
          <w:rFonts w:cstheme="minorHAnsi"/>
          <w:sz w:val="24"/>
          <w:szCs w:val="24"/>
        </w:rPr>
        <w:t xml:space="preserve">Between 2000 and 2019, a total of 8,476 cases of CHL-NOS were reported in women. The majority of these cases were among NHWs (64.72%), and most of them were in the 20-29 age group (18.66%). Cases over 80 </w:t>
      </w:r>
      <w:r>
        <w:rPr>
          <w:rFonts w:cstheme="minorHAnsi"/>
          <w:sz w:val="24"/>
          <w:szCs w:val="24"/>
        </w:rPr>
        <w:t xml:space="preserve">years </w:t>
      </w:r>
      <w:r w:rsidRPr="00B310C2">
        <w:rPr>
          <w:rFonts w:cstheme="minorHAnsi"/>
          <w:sz w:val="24"/>
          <w:szCs w:val="24"/>
        </w:rPr>
        <w:t>had the highest ASIR (1.46 [1.37, 1.56]). Notably cases between 30 and 39</w:t>
      </w:r>
      <w:r>
        <w:rPr>
          <w:rFonts w:cstheme="minorHAnsi"/>
          <w:sz w:val="24"/>
          <w:szCs w:val="24"/>
        </w:rPr>
        <w:t xml:space="preserve"> years</w:t>
      </w:r>
      <w:r w:rsidRPr="00B310C2">
        <w:rPr>
          <w:rFonts w:cstheme="minorHAnsi"/>
          <w:sz w:val="24"/>
          <w:szCs w:val="24"/>
        </w:rPr>
        <w:t xml:space="preserve"> had the highest AAPC </w:t>
      </w:r>
      <w:r>
        <w:rPr>
          <w:rFonts w:cstheme="minorHAnsi"/>
          <w:sz w:val="24"/>
          <w:szCs w:val="24"/>
        </w:rPr>
        <w:t>(</w:t>
      </w:r>
      <w:r w:rsidRPr="00B310C2">
        <w:rPr>
          <w:rFonts w:cstheme="minorHAnsi"/>
          <w:sz w:val="24"/>
          <w:szCs w:val="24"/>
        </w:rPr>
        <w:t>4.98% [4.26, 5.87]</w:t>
      </w:r>
      <w:r>
        <w:rPr>
          <w:rFonts w:cstheme="minorHAnsi"/>
          <w:sz w:val="24"/>
          <w:szCs w:val="24"/>
        </w:rPr>
        <w:t>)</w:t>
      </w:r>
      <w:r w:rsidRPr="00B310C2">
        <w:rPr>
          <w:rFonts w:cstheme="minorHAnsi"/>
          <w:sz w:val="24"/>
          <w:szCs w:val="24"/>
        </w:rPr>
        <w:t xml:space="preserve"> (Table 6).</w:t>
      </w:r>
    </w:p>
    <w:p w14:paraId="1349A38A" w14:textId="77777777" w:rsidR="00836CC6" w:rsidRPr="00B310C2" w:rsidRDefault="00836CC6" w:rsidP="00836CC6">
      <w:pPr>
        <w:bidi w:val="0"/>
        <w:spacing w:line="480" w:lineRule="auto"/>
        <w:jc w:val="both"/>
        <w:rPr>
          <w:rFonts w:cstheme="minorHAnsi"/>
          <w:sz w:val="24"/>
          <w:szCs w:val="24"/>
        </w:rPr>
      </w:pPr>
      <w:r w:rsidRPr="00B310C2">
        <w:rPr>
          <w:rFonts w:cstheme="minorHAnsi"/>
          <w:sz w:val="24"/>
          <w:szCs w:val="24"/>
        </w:rPr>
        <w:t>Among all reported cases, 1</w:t>
      </w:r>
      <w:r>
        <w:rPr>
          <w:rFonts w:cstheme="minorHAnsi"/>
          <w:sz w:val="24"/>
          <w:szCs w:val="24"/>
        </w:rPr>
        <w:t>,</w:t>
      </w:r>
      <w:r w:rsidRPr="00B310C2">
        <w:rPr>
          <w:rFonts w:cstheme="minorHAnsi"/>
          <w:sz w:val="24"/>
          <w:szCs w:val="24"/>
        </w:rPr>
        <w:t xml:space="preserve">538 (18.15%) were among Hispanic individuals. The majority of reported cases were between 20 and 29 </w:t>
      </w:r>
      <w:r>
        <w:rPr>
          <w:rFonts w:cstheme="minorHAnsi"/>
          <w:sz w:val="24"/>
          <w:szCs w:val="24"/>
        </w:rPr>
        <w:t>years</w:t>
      </w:r>
      <w:r w:rsidRPr="00B310C2">
        <w:rPr>
          <w:rFonts w:cstheme="minorHAnsi"/>
          <w:sz w:val="24"/>
          <w:szCs w:val="24"/>
        </w:rPr>
        <w:t xml:space="preserve"> (22.56%). This group's overall ASIR per 100,000 </w:t>
      </w:r>
      <w:r>
        <w:rPr>
          <w:rFonts w:cstheme="minorHAnsi"/>
          <w:sz w:val="24"/>
          <w:szCs w:val="24"/>
        </w:rPr>
        <w:t>population was 0.82 (0.78, 0.87)</w:t>
      </w:r>
      <w:r w:rsidRPr="00B310C2">
        <w:rPr>
          <w:rFonts w:cstheme="minorHAnsi"/>
          <w:sz w:val="24"/>
          <w:szCs w:val="24"/>
        </w:rPr>
        <w:t xml:space="preserve">. Cases among individuals between 70 </w:t>
      </w:r>
      <w:r>
        <w:rPr>
          <w:rFonts w:cstheme="minorHAnsi"/>
          <w:sz w:val="24"/>
          <w:szCs w:val="24"/>
        </w:rPr>
        <w:t>and</w:t>
      </w:r>
      <w:r w:rsidRPr="00B310C2">
        <w:rPr>
          <w:rFonts w:cstheme="minorHAnsi"/>
          <w:sz w:val="24"/>
          <w:szCs w:val="24"/>
        </w:rPr>
        <w:t xml:space="preserve"> 79 years had the highest ASIR compared to other age groups (2.24 [1.96, 2.56]).</w:t>
      </w:r>
      <w:r>
        <w:rPr>
          <w:rFonts w:cstheme="minorHAnsi"/>
          <w:sz w:val="24"/>
          <w:szCs w:val="24"/>
        </w:rPr>
        <w:t xml:space="preserve"> The</w:t>
      </w:r>
      <w:r w:rsidRPr="00B310C2">
        <w:rPr>
          <w:rFonts w:cstheme="minorHAnsi"/>
          <w:sz w:val="24"/>
          <w:szCs w:val="24"/>
        </w:rPr>
        <w:t xml:space="preserve"> AAPC for Hispanics was 3.19% </w:t>
      </w:r>
      <w:r>
        <w:rPr>
          <w:rFonts w:cstheme="minorHAnsi"/>
          <w:sz w:val="24"/>
          <w:szCs w:val="24"/>
        </w:rPr>
        <w:t>(</w:t>
      </w:r>
      <w:r w:rsidRPr="00B310C2">
        <w:rPr>
          <w:rFonts w:cstheme="minorHAnsi"/>
          <w:sz w:val="24"/>
          <w:szCs w:val="24"/>
        </w:rPr>
        <w:t>2.2</w:t>
      </w:r>
      <w:r>
        <w:rPr>
          <w:rFonts w:cstheme="minorHAnsi"/>
          <w:sz w:val="24"/>
          <w:szCs w:val="24"/>
        </w:rPr>
        <w:t>0, 4.52),</w:t>
      </w:r>
      <w:r w:rsidRPr="00B310C2">
        <w:rPr>
          <w:rFonts w:cstheme="minorHAnsi"/>
          <w:sz w:val="24"/>
          <w:szCs w:val="24"/>
        </w:rPr>
        <w:t xml:space="preserve"> and those aged 20-29 years experienced the </w:t>
      </w:r>
      <w:r>
        <w:rPr>
          <w:rFonts w:cstheme="minorHAnsi"/>
          <w:sz w:val="24"/>
          <w:szCs w:val="24"/>
        </w:rPr>
        <w:t xml:space="preserve">greatest </w:t>
      </w:r>
      <w:r w:rsidRPr="00B310C2">
        <w:rPr>
          <w:rFonts w:cstheme="minorHAnsi"/>
          <w:sz w:val="24"/>
          <w:szCs w:val="24"/>
        </w:rPr>
        <w:t xml:space="preserve">increase in </w:t>
      </w:r>
      <w:r>
        <w:rPr>
          <w:rFonts w:cstheme="minorHAnsi"/>
          <w:sz w:val="24"/>
          <w:szCs w:val="24"/>
        </w:rPr>
        <w:t xml:space="preserve">ASIRs </w:t>
      </w:r>
      <w:r w:rsidRPr="00B310C2">
        <w:rPr>
          <w:rFonts w:cstheme="minorHAnsi"/>
          <w:sz w:val="24"/>
          <w:szCs w:val="24"/>
        </w:rPr>
        <w:t xml:space="preserve">compared to other age groups </w:t>
      </w:r>
      <w:r>
        <w:rPr>
          <w:rFonts w:cstheme="minorHAnsi"/>
          <w:sz w:val="24"/>
          <w:szCs w:val="24"/>
        </w:rPr>
        <w:t>(</w:t>
      </w:r>
      <w:r w:rsidRPr="00B310C2">
        <w:rPr>
          <w:rFonts w:cstheme="minorHAnsi"/>
          <w:sz w:val="24"/>
          <w:szCs w:val="24"/>
        </w:rPr>
        <w:t>AAPC</w:t>
      </w:r>
      <w:r>
        <w:rPr>
          <w:rFonts w:cstheme="minorHAnsi"/>
          <w:sz w:val="24"/>
          <w:szCs w:val="24"/>
        </w:rPr>
        <w:t>:</w:t>
      </w:r>
      <w:r w:rsidRPr="00B310C2">
        <w:rPr>
          <w:rFonts w:cstheme="minorHAnsi"/>
          <w:sz w:val="24"/>
          <w:szCs w:val="24"/>
        </w:rPr>
        <w:t xml:space="preserve"> 6.83% [4.91, 9.67]</w:t>
      </w:r>
      <w:r>
        <w:rPr>
          <w:rFonts w:cstheme="minorHAnsi"/>
          <w:sz w:val="24"/>
          <w:szCs w:val="24"/>
        </w:rPr>
        <w:t>)</w:t>
      </w:r>
      <w:r w:rsidRPr="00B310C2">
        <w:rPr>
          <w:rFonts w:cstheme="minorHAnsi"/>
          <w:sz w:val="24"/>
          <w:szCs w:val="24"/>
        </w:rPr>
        <w:t xml:space="preserve"> (Table 6).</w:t>
      </w:r>
    </w:p>
    <w:p w14:paraId="0B13ACD8" w14:textId="77777777" w:rsidR="00836CC6" w:rsidRPr="00B310C2" w:rsidRDefault="00836CC6" w:rsidP="00836CC6">
      <w:pPr>
        <w:bidi w:val="0"/>
        <w:spacing w:line="480" w:lineRule="auto"/>
        <w:jc w:val="both"/>
        <w:rPr>
          <w:rFonts w:cstheme="minorHAnsi"/>
          <w:sz w:val="24"/>
          <w:szCs w:val="24"/>
        </w:rPr>
      </w:pPr>
      <w:r w:rsidRPr="00B310C2">
        <w:rPr>
          <w:rFonts w:cstheme="minorHAnsi"/>
          <w:sz w:val="24"/>
          <w:szCs w:val="24"/>
        </w:rPr>
        <w:t>NHBs constituted 12.27% of the cases of CHL-NOS in women. A significant portion of NHB cases fell between the 20- and 29-years age group (20.19%). The overall ASIR per 100,000 population for</w:t>
      </w:r>
      <w:r>
        <w:rPr>
          <w:rFonts w:cstheme="minorHAnsi"/>
          <w:sz w:val="24"/>
          <w:szCs w:val="24"/>
        </w:rPr>
        <w:t xml:space="preserve"> NHB women was 0.81 (0.76, 0.86)</w:t>
      </w:r>
      <w:r w:rsidRPr="00B310C2">
        <w:rPr>
          <w:rFonts w:cstheme="minorHAnsi"/>
          <w:sz w:val="24"/>
          <w:szCs w:val="24"/>
        </w:rPr>
        <w:t>, with cases over 80 years old having the highest ASIR among other age groups (1.04 [0.77, 1.38]). NHBs in the 70-79 ag</w:t>
      </w:r>
      <w:r>
        <w:rPr>
          <w:rFonts w:cstheme="minorHAnsi"/>
          <w:sz w:val="24"/>
          <w:szCs w:val="24"/>
        </w:rPr>
        <w:t>e group had the highest AAPC (</w:t>
      </w:r>
      <w:r w:rsidRPr="00B310C2">
        <w:rPr>
          <w:rFonts w:cstheme="minorHAnsi"/>
          <w:sz w:val="24"/>
          <w:szCs w:val="24"/>
        </w:rPr>
        <w:t>5.76% [3.16, 9.91]</w:t>
      </w:r>
      <w:r>
        <w:rPr>
          <w:rFonts w:cstheme="minorHAnsi"/>
          <w:sz w:val="24"/>
          <w:szCs w:val="24"/>
        </w:rPr>
        <w:t>)</w:t>
      </w:r>
      <w:r w:rsidRPr="00B310C2">
        <w:rPr>
          <w:rFonts w:cstheme="minorHAnsi"/>
          <w:sz w:val="24"/>
          <w:szCs w:val="24"/>
        </w:rPr>
        <w:t xml:space="preserve"> (Table 6).</w:t>
      </w:r>
    </w:p>
    <w:p w14:paraId="0CDA876E" w14:textId="77777777" w:rsidR="00836CC6" w:rsidRPr="00B310C2" w:rsidRDefault="00836CC6" w:rsidP="00836CC6">
      <w:pPr>
        <w:bidi w:val="0"/>
        <w:spacing w:line="480" w:lineRule="auto"/>
        <w:jc w:val="both"/>
        <w:rPr>
          <w:rFonts w:cstheme="minorHAnsi"/>
          <w:sz w:val="24"/>
          <w:szCs w:val="24"/>
        </w:rPr>
      </w:pPr>
      <w:r w:rsidRPr="00B310C2">
        <w:rPr>
          <w:rFonts w:cstheme="minorHAnsi"/>
          <w:sz w:val="24"/>
          <w:szCs w:val="24"/>
        </w:rPr>
        <w:lastRenderedPageBreak/>
        <w:t xml:space="preserve">The majority of NHW cases were between 20 and 29 years (16.67%) age group. The overall ASIR per 100,000 population for </w:t>
      </w:r>
      <w:r>
        <w:rPr>
          <w:rFonts w:cstheme="minorHAnsi"/>
          <w:sz w:val="24"/>
          <w:szCs w:val="24"/>
        </w:rPr>
        <w:t>this group was 0.81 (0.78, 0.83)</w:t>
      </w:r>
      <w:r w:rsidRPr="00B310C2">
        <w:rPr>
          <w:rFonts w:cstheme="minorHAnsi"/>
          <w:sz w:val="24"/>
          <w:szCs w:val="24"/>
        </w:rPr>
        <w:t>, with cases over 80 years old having the highest ASIR (1.49 [1.39, 1.61]). Over the 2000-2019 period, there was a significant increase in ASIR</w:t>
      </w:r>
      <w:r>
        <w:rPr>
          <w:rFonts w:cstheme="minorHAnsi"/>
          <w:sz w:val="24"/>
          <w:szCs w:val="24"/>
        </w:rPr>
        <w:t>s</w:t>
      </w:r>
      <w:r w:rsidRPr="00B310C2">
        <w:rPr>
          <w:rFonts w:cstheme="minorHAnsi"/>
          <w:sz w:val="24"/>
          <w:szCs w:val="24"/>
        </w:rPr>
        <w:t xml:space="preserve"> for NHW women with an AAPC at </w:t>
      </w:r>
      <w:bookmarkStart w:id="5" w:name="_Hlk153401159"/>
      <w:r>
        <w:rPr>
          <w:rFonts w:cstheme="minorHAnsi"/>
          <w:sz w:val="24"/>
          <w:szCs w:val="24"/>
        </w:rPr>
        <w:t>3.81% (</w:t>
      </w:r>
      <w:r w:rsidRPr="00B310C2">
        <w:rPr>
          <w:rFonts w:cstheme="minorHAnsi"/>
          <w:sz w:val="24"/>
          <w:szCs w:val="24"/>
        </w:rPr>
        <w:t>2.86, 5.09</w:t>
      </w:r>
      <w:bookmarkEnd w:id="5"/>
      <w:r>
        <w:rPr>
          <w:rFonts w:cstheme="minorHAnsi"/>
          <w:sz w:val="24"/>
          <w:szCs w:val="24"/>
        </w:rPr>
        <w:t>)</w:t>
      </w:r>
      <w:r w:rsidRPr="00B310C2">
        <w:rPr>
          <w:rFonts w:cstheme="minorHAnsi"/>
          <w:sz w:val="24"/>
          <w:szCs w:val="24"/>
        </w:rPr>
        <w:t xml:space="preserve"> (Table 6).</w:t>
      </w:r>
    </w:p>
    <w:p w14:paraId="368A39D7" w14:textId="77777777" w:rsidR="002E1760" w:rsidRDefault="002E1760" w:rsidP="002E1760">
      <w:pPr>
        <w:bidi w:val="0"/>
        <w:spacing w:line="480" w:lineRule="auto"/>
        <w:jc w:val="both"/>
        <w:rPr>
          <w:rFonts w:cstheme="minorHAnsi"/>
          <w:sz w:val="24"/>
          <w:szCs w:val="24"/>
        </w:rPr>
      </w:pPr>
    </w:p>
    <w:p w14:paraId="6FD9AD64" w14:textId="77777777" w:rsidR="00AF4AA5" w:rsidRPr="00AF4AA5" w:rsidRDefault="00AF4AA5" w:rsidP="00AF4AA5">
      <w:pPr>
        <w:bidi w:val="0"/>
        <w:spacing w:line="480" w:lineRule="auto"/>
        <w:jc w:val="both"/>
        <w:rPr>
          <w:rFonts w:cstheme="minorHAnsi"/>
          <w:b/>
          <w:bCs/>
          <w:sz w:val="24"/>
          <w:szCs w:val="24"/>
        </w:rPr>
      </w:pPr>
      <w:r w:rsidRPr="00AF4AA5">
        <w:rPr>
          <w:rFonts w:cstheme="minorHAnsi"/>
          <w:b/>
          <w:bCs/>
          <w:sz w:val="24"/>
          <w:szCs w:val="24"/>
        </w:rPr>
        <w:t>Nodular lymphocyte prominent Hodgkin lymphoma (NLPHL)</w:t>
      </w:r>
    </w:p>
    <w:p w14:paraId="0CDDCFB1" w14:textId="77777777" w:rsidR="00AF4AA5" w:rsidRPr="00626163" w:rsidRDefault="00AF4AA5" w:rsidP="00AF4AA5">
      <w:pPr>
        <w:bidi w:val="0"/>
        <w:spacing w:line="480" w:lineRule="auto"/>
        <w:jc w:val="both"/>
        <w:rPr>
          <w:rFonts w:cstheme="minorHAnsi"/>
          <w:b/>
          <w:bCs/>
          <w:sz w:val="24"/>
          <w:szCs w:val="24"/>
        </w:rPr>
      </w:pPr>
      <w:r w:rsidRPr="00626163">
        <w:rPr>
          <w:rFonts w:cstheme="minorHAnsi"/>
          <w:b/>
          <w:bCs/>
          <w:sz w:val="24"/>
          <w:szCs w:val="24"/>
        </w:rPr>
        <w:t xml:space="preserve">Men </w:t>
      </w:r>
    </w:p>
    <w:p w14:paraId="34755E3E" w14:textId="77777777" w:rsidR="00AF4AA5" w:rsidRPr="00B310C2" w:rsidRDefault="00AF4AA5" w:rsidP="00AF4AA5">
      <w:pPr>
        <w:bidi w:val="0"/>
        <w:spacing w:line="480" w:lineRule="auto"/>
        <w:jc w:val="both"/>
        <w:rPr>
          <w:rFonts w:cstheme="minorHAnsi"/>
          <w:sz w:val="24"/>
          <w:szCs w:val="24"/>
        </w:rPr>
      </w:pPr>
      <w:r w:rsidRPr="00B310C2">
        <w:rPr>
          <w:rFonts w:cstheme="minorHAnsi"/>
          <w:sz w:val="24"/>
          <w:szCs w:val="24"/>
        </w:rPr>
        <w:t>A total of 2</w:t>
      </w:r>
      <w:r>
        <w:rPr>
          <w:rFonts w:cstheme="minorHAnsi"/>
          <w:sz w:val="24"/>
          <w:szCs w:val="24"/>
        </w:rPr>
        <w:t>,</w:t>
      </w:r>
      <w:r w:rsidRPr="00B310C2">
        <w:rPr>
          <w:rFonts w:cstheme="minorHAnsi"/>
          <w:sz w:val="24"/>
          <w:szCs w:val="24"/>
        </w:rPr>
        <w:t>627 cases of NLPHL were reported in men between 2000 and 2019. Most of these cases were among NHWs (64.10%) and occurred in cases aged 40 to 49</w:t>
      </w:r>
      <w:r>
        <w:rPr>
          <w:rFonts w:cstheme="minorHAnsi"/>
          <w:sz w:val="24"/>
          <w:szCs w:val="24"/>
        </w:rPr>
        <w:t xml:space="preserve"> years</w:t>
      </w:r>
      <w:r w:rsidRPr="00B310C2">
        <w:rPr>
          <w:rFonts w:cstheme="minorHAnsi"/>
          <w:sz w:val="24"/>
          <w:szCs w:val="24"/>
        </w:rPr>
        <w:t xml:space="preserve"> (20.33%). Those in the 60-69 age group had the highest ASIR (0.3</w:t>
      </w:r>
      <w:r>
        <w:rPr>
          <w:rFonts w:cstheme="minorHAnsi"/>
          <w:sz w:val="24"/>
          <w:szCs w:val="24"/>
        </w:rPr>
        <w:t>0 [0.27, 0.33])</w:t>
      </w:r>
      <w:r w:rsidRPr="00B310C2">
        <w:rPr>
          <w:rFonts w:cstheme="minorHAnsi"/>
          <w:sz w:val="24"/>
          <w:szCs w:val="24"/>
        </w:rPr>
        <w:t xml:space="preserve"> (Table 7).</w:t>
      </w:r>
    </w:p>
    <w:p w14:paraId="15AD390F" w14:textId="77777777" w:rsidR="00AF4AA5" w:rsidRPr="00B310C2" w:rsidRDefault="00AF4AA5" w:rsidP="00AF4AA5">
      <w:pPr>
        <w:bidi w:val="0"/>
        <w:spacing w:line="480" w:lineRule="auto"/>
        <w:jc w:val="both"/>
        <w:rPr>
          <w:rFonts w:cstheme="minorHAnsi"/>
          <w:sz w:val="24"/>
          <w:szCs w:val="24"/>
        </w:rPr>
      </w:pPr>
      <w:r w:rsidRPr="00B310C2">
        <w:rPr>
          <w:rFonts w:cstheme="minorHAnsi"/>
          <w:sz w:val="24"/>
          <w:szCs w:val="24"/>
        </w:rPr>
        <w:t>Out of all the reported cases, 12.22% were among Hispanic individuals. Most cases were between 20 and 29 years old (26.17%). This group's overall ASIR p</w:t>
      </w:r>
      <w:r>
        <w:rPr>
          <w:rFonts w:cstheme="minorHAnsi"/>
          <w:sz w:val="24"/>
          <w:szCs w:val="24"/>
        </w:rPr>
        <w:t>er 100,000 population was 0.15 (0.14, 0.17)</w:t>
      </w:r>
      <w:r w:rsidRPr="00B310C2">
        <w:rPr>
          <w:rFonts w:cstheme="minorHAnsi"/>
          <w:sz w:val="24"/>
          <w:szCs w:val="24"/>
        </w:rPr>
        <w:t xml:space="preserve">. Cases between 50 </w:t>
      </w:r>
      <w:r>
        <w:rPr>
          <w:rFonts w:cstheme="minorHAnsi"/>
          <w:sz w:val="24"/>
          <w:szCs w:val="24"/>
        </w:rPr>
        <w:t>and</w:t>
      </w:r>
      <w:r w:rsidRPr="00B310C2">
        <w:rPr>
          <w:rFonts w:cstheme="minorHAnsi"/>
          <w:sz w:val="24"/>
          <w:szCs w:val="24"/>
        </w:rPr>
        <w:t xml:space="preserve"> 59 years had the highest ASIR among all age groups (0.2</w:t>
      </w:r>
      <w:r>
        <w:rPr>
          <w:rFonts w:cstheme="minorHAnsi"/>
          <w:sz w:val="24"/>
          <w:szCs w:val="24"/>
        </w:rPr>
        <w:t>0</w:t>
      </w:r>
      <w:r w:rsidRPr="00B310C2">
        <w:rPr>
          <w:rFonts w:cstheme="minorHAnsi"/>
          <w:sz w:val="24"/>
          <w:szCs w:val="24"/>
        </w:rPr>
        <w:t xml:space="preserve"> [0.15, 0.26]). Hispanics experienced an increase in ASIR</w:t>
      </w:r>
      <w:r>
        <w:rPr>
          <w:rFonts w:cstheme="minorHAnsi"/>
          <w:sz w:val="24"/>
          <w:szCs w:val="24"/>
        </w:rPr>
        <w:t>s</w:t>
      </w:r>
      <w:r w:rsidRPr="00B310C2">
        <w:rPr>
          <w:rFonts w:cstheme="minorHAnsi"/>
          <w:sz w:val="24"/>
          <w:szCs w:val="24"/>
        </w:rPr>
        <w:t xml:space="preserve"> from 2000 to 2019 with an AA</w:t>
      </w:r>
      <w:r>
        <w:rPr>
          <w:rFonts w:cstheme="minorHAnsi"/>
          <w:sz w:val="24"/>
          <w:szCs w:val="24"/>
        </w:rPr>
        <w:t>PC of 3.57% (1.48, 6.56)</w:t>
      </w:r>
      <w:r w:rsidRPr="00B310C2">
        <w:rPr>
          <w:rFonts w:cstheme="minorHAnsi"/>
          <w:sz w:val="24"/>
          <w:szCs w:val="24"/>
        </w:rPr>
        <w:t xml:space="preserve"> (Table 7).</w:t>
      </w:r>
    </w:p>
    <w:p w14:paraId="3172A155" w14:textId="77777777" w:rsidR="00AF4AA5" w:rsidRPr="00B310C2" w:rsidRDefault="00AF4AA5" w:rsidP="00AF4AA5">
      <w:pPr>
        <w:bidi w:val="0"/>
        <w:spacing w:line="480" w:lineRule="auto"/>
        <w:jc w:val="both"/>
        <w:rPr>
          <w:rFonts w:cstheme="minorHAnsi"/>
          <w:sz w:val="24"/>
          <w:szCs w:val="24"/>
        </w:rPr>
      </w:pPr>
      <w:r w:rsidRPr="00B310C2">
        <w:rPr>
          <w:rFonts w:cstheme="minorHAnsi"/>
          <w:sz w:val="24"/>
          <w:szCs w:val="24"/>
        </w:rPr>
        <w:t xml:space="preserve">NHBs accounted for 18.96% of the cases of NLPHL. Most NHB cases occurred between 40 and 49 years (26.10%). The overall ASIR per 100,000 population was 0.44 </w:t>
      </w:r>
      <w:r>
        <w:rPr>
          <w:rFonts w:cstheme="minorHAnsi"/>
          <w:sz w:val="24"/>
          <w:szCs w:val="24"/>
        </w:rPr>
        <w:t>(0.41, 0.49)</w:t>
      </w:r>
      <w:r w:rsidRPr="00B310C2">
        <w:rPr>
          <w:rFonts w:cstheme="minorHAnsi"/>
          <w:sz w:val="24"/>
          <w:szCs w:val="24"/>
        </w:rPr>
        <w:t xml:space="preserve">, and cases in the 40-49 age group had the highest ASIR (0.57 [0.47, 0.67]). NHBs had a substantial increase in </w:t>
      </w:r>
      <w:r>
        <w:rPr>
          <w:rFonts w:cstheme="minorHAnsi"/>
          <w:sz w:val="24"/>
          <w:szCs w:val="24"/>
        </w:rPr>
        <w:t xml:space="preserve">ASIRs </w:t>
      </w:r>
      <w:r w:rsidRPr="00B310C2">
        <w:rPr>
          <w:rFonts w:cstheme="minorHAnsi"/>
          <w:sz w:val="24"/>
          <w:szCs w:val="24"/>
        </w:rPr>
        <w:t>wi</w:t>
      </w:r>
      <w:r>
        <w:rPr>
          <w:rFonts w:cstheme="minorHAnsi"/>
          <w:sz w:val="24"/>
          <w:szCs w:val="24"/>
        </w:rPr>
        <w:t xml:space="preserve">th an AAPC at 5.98% (3.93, 8.93) </w:t>
      </w:r>
      <w:r w:rsidRPr="00B310C2">
        <w:rPr>
          <w:rFonts w:cstheme="minorHAnsi"/>
          <w:sz w:val="24"/>
          <w:szCs w:val="24"/>
        </w:rPr>
        <w:t>(Table 7).</w:t>
      </w:r>
    </w:p>
    <w:p w14:paraId="15A40C27" w14:textId="77777777" w:rsidR="00AF4AA5" w:rsidRPr="00B310C2" w:rsidRDefault="00AF4AA5" w:rsidP="00AF4AA5">
      <w:pPr>
        <w:bidi w:val="0"/>
        <w:spacing w:line="480" w:lineRule="auto"/>
        <w:jc w:val="both"/>
        <w:rPr>
          <w:rFonts w:cstheme="minorHAnsi"/>
          <w:sz w:val="24"/>
          <w:szCs w:val="24"/>
        </w:rPr>
      </w:pPr>
      <w:r w:rsidRPr="00B310C2">
        <w:rPr>
          <w:rFonts w:cstheme="minorHAnsi"/>
          <w:sz w:val="24"/>
          <w:szCs w:val="24"/>
        </w:rPr>
        <w:t>Most NHWs were individuals aged 50 to 59 years (19.77%). The overall ASIR per 100,000 population f</w:t>
      </w:r>
      <w:r>
        <w:rPr>
          <w:rFonts w:cstheme="minorHAnsi"/>
          <w:sz w:val="24"/>
          <w:szCs w:val="24"/>
        </w:rPr>
        <w:t>or NHW men was 0.27 (0.26, 0.28)</w:t>
      </w:r>
      <w:r w:rsidRPr="00B310C2">
        <w:rPr>
          <w:rFonts w:cstheme="minorHAnsi"/>
          <w:sz w:val="24"/>
          <w:szCs w:val="24"/>
        </w:rPr>
        <w:t xml:space="preserve">, with cases between 60 and 69 years having </w:t>
      </w:r>
      <w:r w:rsidRPr="00B310C2">
        <w:rPr>
          <w:rFonts w:cstheme="minorHAnsi"/>
          <w:sz w:val="24"/>
          <w:szCs w:val="24"/>
        </w:rPr>
        <w:lastRenderedPageBreak/>
        <w:t xml:space="preserve">the highest ASIR (0.31 [0.27, 0.35]). NHW men exhibited a significant increase </w:t>
      </w:r>
      <w:r>
        <w:rPr>
          <w:rFonts w:cstheme="minorHAnsi"/>
          <w:sz w:val="24"/>
          <w:szCs w:val="24"/>
        </w:rPr>
        <w:t xml:space="preserve">in ASIRs </w:t>
      </w:r>
      <w:r w:rsidRPr="00B310C2">
        <w:rPr>
          <w:rFonts w:cstheme="minorHAnsi"/>
          <w:sz w:val="24"/>
          <w:szCs w:val="24"/>
        </w:rPr>
        <w:t>with an AAPC at</w:t>
      </w:r>
      <w:r>
        <w:rPr>
          <w:rFonts w:cstheme="minorHAnsi"/>
          <w:sz w:val="24"/>
          <w:szCs w:val="24"/>
        </w:rPr>
        <w:t xml:space="preserve"> 4.87% (4.02, 5.84) </w:t>
      </w:r>
      <w:r w:rsidRPr="00B310C2">
        <w:rPr>
          <w:rFonts w:cstheme="minorHAnsi"/>
          <w:sz w:val="24"/>
          <w:szCs w:val="24"/>
        </w:rPr>
        <w:t>(Table 7).</w:t>
      </w:r>
    </w:p>
    <w:p w14:paraId="5172F894" w14:textId="77777777" w:rsidR="00AF4AA5" w:rsidRPr="00626163" w:rsidRDefault="00AF4AA5" w:rsidP="00AF4AA5">
      <w:pPr>
        <w:bidi w:val="0"/>
        <w:spacing w:line="480" w:lineRule="auto"/>
        <w:jc w:val="both"/>
        <w:rPr>
          <w:rFonts w:cstheme="minorHAnsi"/>
          <w:b/>
          <w:bCs/>
          <w:sz w:val="24"/>
          <w:szCs w:val="24"/>
        </w:rPr>
      </w:pPr>
      <w:r w:rsidRPr="00626163">
        <w:rPr>
          <w:rFonts w:cstheme="minorHAnsi"/>
          <w:b/>
          <w:bCs/>
          <w:sz w:val="24"/>
          <w:szCs w:val="24"/>
        </w:rPr>
        <w:t xml:space="preserve">Women </w:t>
      </w:r>
    </w:p>
    <w:p w14:paraId="42B71963" w14:textId="77777777" w:rsidR="00AF4AA5" w:rsidRPr="00B310C2" w:rsidRDefault="00AF4AA5" w:rsidP="00AF4AA5">
      <w:pPr>
        <w:bidi w:val="0"/>
        <w:spacing w:line="480" w:lineRule="auto"/>
        <w:jc w:val="both"/>
        <w:rPr>
          <w:rFonts w:cstheme="minorHAnsi"/>
          <w:sz w:val="24"/>
          <w:szCs w:val="24"/>
        </w:rPr>
      </w:pPr>
      <w:r w:rsidRPr="00B310C2">
        <w:rPr>
          <w:rFonts w:cstheme="minorHAnsi"/>
          <w:sz w:val="24"/>
          <w:szCs w:val="24"/>
        </w:rPr>
        <w:t>Between 2000 and 2019, a total of 1</w:t>
      </w:r>
      <w:r>
        <w:rPr>
          <w:rFonts w:cstheme="minorHAnsi"/>
          <w:sz w:val="24"/>
          <w:szCs w:val="24"/>
        </w:rPr>
        <w:t>,</w:t>
      </w:r>
      <w:r w:rsidRPr="00B310C2">
        <w:rPr>
          <w:rFonts w:cstheme="minorHAnsi"/>
          <w:sz w:val="24"/>
          <w:szCs w:val="24"/>
        </w:rPr>
        <w:t xml:space="preserve">436 cases of NLPHL were reported in women. The majority of these cases were among NHWs (49.23%) and between 50 </w:t>
      </w:r>
      <w:r>
        <w:rPr>
          <w:rFonts w:cstheme="minorHAnsi"/>
          <w:sz w:val="24"/>
          <w:szCs w:val="24"/>
        </w:rPr>
        <w:t>and</w:t>
      </w:r>
      <w:r w:rsidRPr="00B310C2">
        <w:rPr>
          <w:rFonts w:cstheme="minorHAnsi"/>
          <w:sz w:val="24"/>
          <w:szCs w:val="24"/>
        </w:rPr>
        <w:t xml:space="preserve"> 59 years (21.24%). Cases between 60 and 69</w:t>
      </w:r>
      <w:r>
        <w:rPr>
          <w:rFonts w:cstheme="minorHAnsi"/>
          <w:sz w:val="24"/>
          <w:szCs w:val="24"/>
        </w:rPr>
        <w:t xml:space="preserve"> years</w:t>
      </w:r>
      <w:r w:rsidRPr="00B310C2">
        <w:rPr>
          <w:rFonts w:cstheme="minorHAnsi"/>
          <w:sz w:val="24"/>
          <w:szCs w:val="24"/>
        </w:rPr>
        <w:t xml:space="preserve"> had the highest ASIR per 100,000 population compared to other age groups (0.2</w:t>
      </w:r>
      <w:r>
        <w:rPr>
          <w:rFonts w:cstheme="minorHAnsi"/>
          <w:sz w:val="24"/>
          <w:szCs w:val="24"/>
        </w:rPr>
        <w:t>0 [0.18, 0.23])</w:t>
      </w:r>
      <w:r w:rsidRPr="00B310C2">
        <w:rPr>
          <w:rFonts w:cstheme="minorHAnsi"/>
          <w:sz w:val="24"/>
          <w:szCs w:val="24"/>
        </w:rPr>
        <w:t xml:space="preserve"> (Table 7).</w:t>
      </w:r>
    </w:p>
    <w:p w14:paraId="0555B9B8" w14:textId="77777777" w:rsidR="00AF4AA5" w:rsidRPr="00B310C2" w:rsidRDefault="00AF4AA5" w:rsidP="00AF4AA5">
      <w:pPr>
        <w:bidi w:val="0"/>
        <w:spacing w:line="480" w:lineRule="auto"/>
        <w:jc w:val="both"/>
        <w:rPr>
          <w:rFonts w:cstheme="minorHAnsi"/>
          <w:sz w:val="24"/>
          <w:szCs w:val="24"/>
        </w:rPr>
      </w:pPr>
      <w:r w:rsidRPr="00B310C2">
        <w:rPr>
          <w:rFonts w:cstheme="minorHAnsi"/>
          <w:sz w:val="24"/>
          <w:szCs w:val="24"/>
        </w:rPr>
        <w:t xml:space="preserve">Among all reported cases, 12.33% were among Hispanic individuals. The majority of cases were individuals between 40 </w:t>
      </w:r>
      <w:r>
        <w:rPr>
          <w:rFonts w:cstheme="minorHAnsi"/>
          <w:sz w:val="24"/>
          <w:szCs w:val="24"/>
        </w:rPr>
        <w:t>and</w:t>
      </w:r>
      <w:r w:rsidRPr="00B310C2">
        <w:rPr>
          <w:rFonts w:cstheme="minorHAnsi"/>
          <w:sz w:val="24"/>
          <w:szCs w:val="24"/>
        </w:rPr>
        <w:t xml:space="preserve"> 49 years (24.86%). The overall ASIR per 100,000 </w:t>
      </w:r>
      <w:r>
        <w:rPr>
          <w:rFonts w:cstheme="minorHAnsi"/>
          <w:sz w:val="24"/>
          <w:szCs w:val="24"/>
        </w:rPr>
        <w:t>population was 0.09 (0.08, 0.11)</w:t>
      </w:r>
      <w:r w:rsidRPr="00B310C2">
        <w:rPr>
          <w:rFonts w:cstheme="minorHAnsi"/>
          <w:sz w:val="24"/>
          <w:szCs w:val="24"/>
        </w:rPr>
        <w:t>. There w</w:t>
      </w:r>
      <w:r>
        <w:rPr>
          <w:rFonts w:cstheme="minorHAnsi"/>
          <w:sz w:val="24"/>
          <w:szCs w:val="24"/>
        </w:rPr>
        <w:t xml:space="preserve">as a significant increase in ASIRs between 2000 and </w:t>
      </w:r>
      <w:r w:rsidRPr="00B310C2">
        <w:rPr>
          <w:rFonts w:cstheme="minorHAnsi"/>
          <w:sz w:val="24"/>
          <w:szCs w:val="24"/>
        </w:rPr>
        <w:t>2019 (AAPC: 4.2</w:t>
      </w:r>
      <w:r>
        <w:rPr>
          <w:rFonts w:cstheme="minorHAnsi"/>
          <w:sz w:val="24"/>
          <w:szCs w:val="24"/>
        </w:rPr>
        <w:t>0</w:t>
      </w:r>
      <w:r w:rsidRPr="00B310C2">
        <w:rPr>
          <w:rFonts w:cstheme="minorHAnsi"/>
          <w:sz w:val="24"/>
          <w:szCs w:val="24"/>
        </w:rPr>
        <w:t>% [0.71, 9.74]) (Table 7).</w:t>
      </w:r>
    </w:p>
    <w:p w14:paraId="44C277A6" w14:textId="77777777" w:rsidR="00AF4AA5" w:rsidRPr="00B310C2" w:rsidRDefault="00AF4AA5" w:rsidP="00AF4AA5">
      <w:pPr>
        <w:bidi w:val="0"/>
        <w:spacing w:line="480" w:lineRule="auto"/>
        <w:jc w:val="both"/>
        <w:rPr>
          <w:rFonts w:cstheme="minorHAnsi"/>
          <w:sz w:val="24"/>
          <w:szCs w:val="24"/>
        </w:rPr>
      </w:pPr>
      <w:r w:rsidRPr="00B310C2">
        <w:rPr>
          <w:rFonts w:cstheme="minorHAnsi"/>
          <w:sz w:val="24"/>
          <w:szCs w:val="24"/>
        </w:rPr>
        <w:t xml:space="preserve">NHBs constituted 33.98 % of the cases of NLPHL in women. A </w:t>
      </w:r>
      <w:r>
        <w:rPr>
          <w:rFonts w:cstheme="minorHAnsi"/>
          <w:sz w:val="24"/>
          <w:szCs w:val="24"/>
        </w:rPr>
        <w:t>large</w:t>
      </w:r>
      <w:r w:rsidRPr="00B310C2">
        <w:rPr>
          <w:rFonts w:cstheme="minorHAnsi"/>
          <w:sz w:val="24"/>
          <w:szCs w:val="24"/>
        </w:rPr>
        <w:t xml:space="preserve"> portion of NHB cases were between 40 </w:t>
      </w:r>
      <w:r>
        <w:rPr>
          <w:rFonts w:cstheme="minorHAnsi"/>
          <w:sz w:val="24"/>
          <w:szCs w:val="24"/>
        </w:rPr>
        <w:t>and</w:t>
      </w:r>
      <w:r w:rsidRPr="00B310C2">
        <w:rPr>
          <w:rFonts w:cstheme="minorHAnsi"/>
          <w:sz w:val="24"/>
          <w:szCs w:val="24"/>
        </w:rPr>
        <w:t xml:space="preserve"> 49-year age group (24.39%). The overall ASIR per 100,000 population for</w:t>
      </w:r>
      <w:r>
        <w:rPr>
          <w:rFonts w:cstheme="minorHAnsi"/>
          <w:sz w:val="24"/>
          <w:szCs w:val="24"/>
        </w:rPr>
        <w:t xml:space="preserve"> NHB women was 0.38 (0.35, 0.42)</w:t>
      </w:r>
      <w:r w:rsidRPr="00B310C2">
        <w:rPr>
          <w:rFonts w:cstheme="minorHAnsi"/>
          <w:sz w:val="24"/>
          <w:szCs w:val="24"/>
        </w:rPr>
        <w:t>, with cases between 60 and 69 years old having the highest ASIR among other age groups (0.49 [0.39, 0.62]). NHBS experienced a significant change in ASIR</w:t>
      </w:r>
      <w:r>
        <w:rPr>
          <w:rFonts w:cstheme="minorHAnsi"/>
          <w:sz w:val="24"/>
          <w:szCs w:val="24"/>
        </w:rPr>
        <w:t>s</w:t>
      </w:r>
      <w:r w:rsidRPr="00B310C2">
        <w:rPr>
          <w:rFonts w:cstheme="minorHAnsi"/>
          <w:sz w:val="24"/>
          <w:szCs w:val="24"/>
        </w:rPr>
        <w:t xml:space="preserve"> wi</w:t>
      </w:r>
      <w:r>
        <w:rPr>
          <w:rFonts w:cstheme="minorHAnsi"/>
          <w:sz w:val="24"/>
          <w:szCs w:val="24"/>
        </w:rPr>
        <w:t>th an AAPC of 6.14% (3.96, 9.31)</w:t>
      </w:r>
      <w:r w:rsidRPr="00B310C2">
        <w:rPr>
          <w:rFonts w:cstheme="minorHAnsi"/>
          <w:sz w:val="24"/>
          <w:szCs w:val="24"/>
        </w:rPr>
        <w:t xml:space="preserve"> (Table 7).</w:t>
      </w:r>
    </w:p>
    <w:p w14:paraId="7374F0CC" w14:textId="77777777" w:rsidR="00BC6B36" w:rsidRPr="00462A9C" w:rsidRDefault="00AF4AA5" w:rsidP="00041176">
      <w:pPr>
        <w:bidi w:val="0"/>
        <w:spacing w:line="480" w:lineRule="auto"/>
        <w:jc w:val="both"/>
        <w:rPr>
          <w:sz w:val="24"/>
          <w:szCs w:val="24"/>
        </w:rPr>
      </w:pPr>
      <w:r w:rsidRPr="00B310C2">
        <w:rPr>
          <w:rFonts w:cstheme="minorHAnsi"/>
          <w:sz w:val="24"/>
          <w:szCs w:val="24"/>
        </w:rPr>
        <w:t>The majority of NHW cases were in the 60 to 69 age group (22.63%). The overall ASIR per 100,000 population was 0.1</w:t>
      </w:r>
      <w:r>
        <w:rPr>
          <w:rFonts w:cstheme="minorHAnsi"/>
          <w:sz w:val="24"/>
          <w:szCs w:val="24"/>
        </w:rPr>
        <w:t>0 (0.09, 0.11)</w:t>
      </w:r>
      <w:r w:rsidRPr="00B310C2">
        <w:rPr>
          <w:rFonts w:cstheme="minorHAnsi"/>
          <w:sz w:val="24"/>
          <w:szCs w:val="24"/>
        </w:rPr>
        <w:t xml:space="preserve">, with cases between 70 </w:t>
      </w:r>
      <w:r>
        <w:rPr>
          <w:rFonts w:cstheme="minorHAnsi"/>
          <w:sz w:val="24"/>
          <w:szCs w:val="24"/>
        </w:rPr>
        <w:t>and</w:t>
      </w:r>
      <w:r w:rsidRPr="00B310C2">
        <w:rPr>
          <w:rFonts w:cstheme="minorHAnsi"/>
          <w:sz w:val="24"/>
          <w:szCs w:val="24"/>
        </w:rPr>
        <w:t xml:space="preserve"> 79 years having the highest ASIR (0.19 [0.16, 0.23]). Over the 2000-2019, there was a</w:t>
      </w:r>
      <w:r>
        <w:rPr>
          <w:rFonts w:cstheme="minorHAnsi"/>
          <w:sz w:val="24"/>
          <w:szCs w:val="24"/>
        </w:rPr>
        <w:t>n</w:t>
      </w:r>
      <w:r w:rsidRPr="00B310C2">
        <w:rPr>
          <w:rFonts w:cstheme="minorHAnsi"/>
          <w:sz w:val="24"/>
          <w:szCs w:val="24"/>
        </w:rPr>
        <w:t xml:space="preserve"> increase in ASIR</w:t>
      </w:r>
      <w:r>
        <w:rPr>
          <w:rFonts w:cstheme="minorHAnsi"/>
          <w:sz w:val="24"/>
          <w:szCs w:val="24"/>
        </w:rPr>
        <w:t>s in NHWs with an AAPC of 6.25% (4.73, 8.28)</w:t>
      </w:r>
      <w:r w:rsidRPr="00B310C2">
        <w:rPr>
          <w:rFonts w:cstheme="minorHAnsi"/>
          <w:sz w:val="24"/>
          <w:szCs w:val="24"/>
        </w:rPr>
        <w:t xml:space="preserve"> (Table 7).</w:t>
      </w:r>
    </w:p>
    <w:sectPr w:rsidR="00BC6B36" w:rsidRPr="00462A9C" w:rsidSect="00A516AA">
      <w:foot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220C7" w14:textId="77777777" w:rsidR="004C3166" w:rsidRDefault="004C3166" w:rsidP="00BC6B36">
      <w:pPr>
        <w:spacing w:after="0" w:line="240" w:lineRule="auto"/>
      </w:pPr>
      <w:r>
        <w:separator/>
      </w:r>
    </w:p>
  </w:endnote>
  <w:endnote w:type="continuationSeparator" w:id="0">
    <w:p w14:paraId="2223193B" w14:textId="77777777" w:rsidR="004C3166" w:rsidRDefault="004C3166" w:rsidP="00BC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30799198"/>
      <w:docPartObj>
        <w:docPartGallery w:val="Page Numbers (Bottom of Page)"/>
        <w:docPartUnique/>
      </w:docPartObj>
    </w:sdtPr>
    <w:sdtEndPr/>
    <w:sdtContent>
      <w:p w14:paraId="0CE77715" w14:textId="77777777" w:rsidR="00BC6B36" w:rsidRDefault="00BC6B36">
        <w:pPr>
          <w:pStyle w:val="Footer"/>
          <w:jc w:val="center"/>
        </w:pPr>
        <w:r>
          <w:fldChar w:fldCharType="begin"/>
        </w:r>
        <w:r>
          <w:instrText xml:space="preserve"> PAGE   \* MERGEFORMAT </w:instrText>
        </w:r>
        <w:r>
          <w:fldChar w:fldCharType="separate"/>
        </w:r>
        <w:r w:rsidR="00EB4DB9">
          <w:rPr>
            <w:noProof/>
            <w:rtl/>
          </w:rPr>
          <w:t>10</w:t>
        </w:r>
        <w:r>
          <w:rPr>
            <w:noProof/>
          </w:rPr>
          <w:fldChar w:fldCharType="end"/>
        </w:r>
      </w:p>
    </w:sdtContent>
  </w:sdt>
  <w:p w14:paraId="26D011DC" w14:textId="77777777" w:rsidR="00BC6B36" w:rsidRDefault="00BC6B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BBF7B" w14:textId="77777777" w:rsidR="004C3166" w:rsidRDefault="004C3166" w:rsidP="00BC6B36">
      <w:pPr>
        <w:spacing w:after="0" w:line="240" w:lineRule="auto"/>
      </w:pPr>
      <w:r>
        <w:separator/>
      </w:r>
    </w:p>
  </w:footnote>
  <w:footnote w:type="continuationSeparator" w:id="0">
    <w:p w14:paraId="3B6DDDFB" w14:textId="77777777" w:rsidR="004C3166" w:rsidRDefault="004C3166" w:rsidP="00BC6B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47340F"/>
    <w:multiLevelType w:val="multilevel"/>
    <w:tmpl w:val="99E43A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A9C"/>
    <w:rsid w:val="00041176"/>
    <w:rsid w:val="00282D89"/>
    <w:rsid w:val="002E1760"/>
    <w:rsid w:val="00462A9C"/>
    <w:rsid w:val="004C3166"/>
    <w:rsid w:val="004F1FF8"/>
    <w:rsid w:val="00785EA9"/>
    <w:rsid w:val="00836CC6"/>
    <w:rsid w:val="00854153"/>
    <w:rsid w:val="008830C5"/>
    <w:rsid w:val="00966E3C"/>
    <w:rsid w:val="009F2F92"/>
    <w:rsid w:val="00A0137F"/>
    <w:rsid w:val="00A516AA"/>
    <w:rsid w:val="00AF4AA5"/>
    <w:rsid w:val="00BC6B36"/>
    <w:rsid w:val="00EB4DB9"/>
    <w:rsid w:val="00FF476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258AB"/>
  <w15:chartTrackingRefBased/>
  <w15:docId w15:val="{277F296E-81D9-4C05-B12A-93E212F3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6B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B36"/>
  </w:style>
  <w:style w:type="paragraph" w:styleId="Footer">
    <w:name w:val="footer"/>
    <w:basedOn w:val="Normal"/>
    <w:link w:val="FooterChar"/>
    <w:uiPriority w:val="99"/>
    <w:unhideWhenUsed/>
    <w:rsid w:val="00BC6B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B36"/>
  </w:style>
  <w:style w:type="paragraph" w:styleId="ListParagraph">
    <w:name w:val="List Paragraph"/>
    <w:basedOn w:val="Normal"/>
    <w:uiPriority w:val="34"/>
    <w:qFormat/>
    <w:rsid w:val="00854153"/>
    <w:pPr>
      <w:bidi w:val="0"/>
      <w:ind w:left="720"/>
      <w:contextualSpacing/>
    </w:pPr>
    <w:rPr>
      <w:rFonts w:ascii="Calibri" w:eastAsia="Calibri" w:hAnsi="Calibri" w:cs="Arial"/>
      <w:lang w:bidi="ar-SA"/>
    </w:rPr>
  </w:style>
  <w:style w:type="paragraph" w:styleId="Revision">
    <w:name w:val="Revision"/>
    <w:hidden/>
    <w:uiPriority w:val="99"/>
    <w:semiHidden/>
    <w:rsid w:val="00FF47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 Nejadghaderi</dc:creator>
  <cp:keywords/>
  <dc:description/>
  <cp:lastModifiedBy>Aria Nejadghaderi</cp:lastModifiedBy>
  <cp:revision>3</cp:revision>
  <dcterms:created xsi:type="dcterms:W3CDTF">2024-08-23T09:25:00Z</dcterms:created>
  <dcterms:modified xsi:type="dcterms:W3CDTF">2024-08-23T17:41:00Z</dcterms:modified>
</cp:coreProperties>
</file>