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9A487D" w14:textId="145194A0" w:rsidR="006071F0" w:rsidRPr="005D72BD" w:rsidRDefault="006071F0" w:rsidP="006071F0">
      <w:pPr>
        <w:spacing w:line="480" w:lineRule="auto"/>
        <w:jc w:val="center"/>
        <w:rPr>
          <w:rFonts w:ascii="Calibri" w:eastAsia="Calibri" w:hAnsi="Calibri" w:cs="Times New Roman"/>
          <w:b/>
          <w:bCs/>
          <w:kern w:val="0"/>
          <w14:ligatures w14:val="none"/>
        </w:rPr>
      </w:pPr>
      <w:r w:rsidRPr="005D72BD">
        <w:rPr>
          <w:rFonts w:ascii="Calibri" w:eastAsia="Calibri" w:hAnsi="Calibri" w:cs="Times New Roman"/>
          <w:b/>
          <w:bCs/>
          <w:noProof/>
          <w:kern w:val="0"/>
          <w:lang w:val="en-IN" w:eastAsia="en-IN"/>
          <w14:ligatures w14:val="none"/>
        </w:rPr>
        <w:drawing>
          <wp:inline distT="0" distB="0" distL="0" distR="0" wp14:anchorId="18BF7593" wp14:editId="6A38ABFC">
            <wp:extent cx="5934075" cy="4857750"/>
            <wp:effectExtent l="0" t="0" r="9525" b="0"/>
            <wp:docPr id="1130984637"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984637" name="Picture 1" descr="A screenshot of a graph&#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34075" cy="4857750"/>
                    </a:xfrm>
                    <a:prstGeom prst="rect">
                      <a:avLst/>
                    </a:prstGeom>
                    <a:noFill/>
                    <a:ln>
                      <a:noFill/>
                    </a:ln>
                  </pic:spPr>
                </pic:pic>
              </a:graphicData>
            </a:graphic>
          </wp:inline>
        </w:drawing>
      </w:r>
    </w:p>
    <w:p w14:paraId="48033387" w14:textId="55C2B3AA" w:rsidR="006071F0" w:rsidRPr="005D72BD" w:rsidRDefault="006071F0" w:rsidP="006071F0">
      <w:pPr>
        <w:spacing w:line="480" w:lineRule="auto"/>
        <w:rPr>
          <w:rFonts w:ascii="Calibri" w:eastAsia="Calibri" w:hAnsi="Calibri" w:cs="Times New Roman"/>
          <w:kern w:val="0"/>
          <w14:ligatures w14:val="none"/>
        </w:rPr>
      </w:pPr>
      <w:r w:rsidRPr="005D72BD">
        <w:rPr>
          <w:rFonts w:ascii="Calibri" w:eastAsia="Calibri" w:hAnsi="Calibri" w:cs="Times New Roman"/>
          <w:b/>
          <w:bCs/>
          <w:kern w:val="0"/>
          <w14:ligatures w14:val="none"/>
        </w:rPr>
        <w:t>Supplementary Figure 1: a</w:t>
      </w:r>
      <w:r w:rsidRPr="005D72BD">
        <w:rPr>
          <w:rFonts w:ascii="Calibri" w:eastAsia="Calibri" w:hAnsi="Calibri" w:cs="Times New Roman"/>
          <w:kern w:val="0"/>
          <w14:ligatures w14:val="none"/>
        </w:rPr>
        <w:t>, Number of samples versus log</w:t>
      </w:r>
      <w:r w:rsidRPr="005D72BD">
        <w:rPr>
          <w:rFonts w:ascii="Calibri" w:eastAsia="Calibri" w:hAnsi="Calibri" w:cs="Times New Roman"/>
          <w:kern w:val="0"/>
          <w:vertAlign w:val="subscript"/>
          <w14:ligatures w14:val="none"/>
        </w:rPr>
        <w:t xml:space="preserve">10 </w:t>
      </w:r>
      <w:r w:rsidRPr="005D72BD">
        <w:rPr>
          <w:rFonts w:ascii="Calibri" w:eastAsia="Calibri" w:hAnsi="Calibri" w:cs="Times New Roman"/>
          <w:kern w:val="0"/>
          <w14:ligatures w14:val="none"/>
        </w:rPr>
        <w:t xml:space="preserve">number of reads, or abundance, for 16S, 18S-V4, and 18S-V9. Color indicates either 16S (pink), 18S-V4 (green), or 18S-V9 (blue) ASVs. </w:t>
      </w:r>
      <w:r w:rsidRPr="005D72BD">
        <w:rPr>
          <w:rFonts w:ascii="Calibri" w:eastAsia="Calibri" w:hAnsi="Calibri" w:cs="Times New Roman"/>
          <w:b/>
          <w:bCs/>
          <w:kern w:val="0"/>
          <w14:ligatures w14:val="none"/>
        </w:rPr>
        <w:t>b</w:t>
      </w:r>
      <w:r w:rsidRPr="005D72BD">
        <w:rPr>
          <w:rFonts w:ascii="Calibri" w:eastAsia="Calibri" w:hAnsi="Calibri" w:cs="Times New Roman"/>
          <w:kern w:val="0"/>
          <w14:ligatures w14:val="none"/>
        </w:rPr>
        <w:t>, Histogram of mean total reads (log</w:t>
      </w:r>
      <w:r w:rsidRPr="005D72BD">
        <w:rPr>
          <w:rFonts w:ascii="Calibri" w:eastAsia="Calibri" w:hAnsi="Calibri" w:cs="Times New Roman"/>
          <w:kern w:val="0"/>
          <w:vertAlign w:val="subscript"/>
          <w14:ligatures w14:val="none"/>
        </w:rPr>
        <w:t>10</w:t>
      </w:r>
      <w:r w:rsidRPr="005D72BD">
        <w:rPr>
          <w:rFonts w:ascii="Calibri" w:eastAsia="Calibri" w:hAnsi="Calibri" w:cs="Times New Roman"/>
          <w:kern w:val="0"/>
          <w14:ligatures w14:val="none"/>
        </w:rPr>
        <w:t xml:space="preserve">) per ASV split between Singletons (ASVs only seen in one sample, light grey) and all other ASVs (dark grey) for 16S. The density outline (thick black line) shows the distribution of all 16S reads while filled </w:t>
      </w:r>
      <w:r w:rsidR="001D3732" w:rsidRPr="005D72BD">
        <w:rPr>
          <w:rFonts w:ascii="Calibri" w:eastAsia="Calibri" w:hAnsi="Calibri" w:cs="Times New Roman"/>
          <w:kern w:val="0"/>
          <w14:ligatures w14:val="none"/>
        </w:rPr>
        <w:t>purple</w:t>
      </w:r>
      <w:r w:rsidRPr="005D72BD">
        <w:rPr>
          <w:rFonts w:ascii="Calibri" w:eastAsia="Calibri" w:hAnsi="Calibri" w:cs="Times New Roman"/>
          <w:kern w:val="0"/>
          <w14:ligatures w14:val="none"/>
        </w:rPr>
        <w:t xml:space="preserve"> and </w:t>
      </w:r>
      <w:r w:rsidR="001D3732" w:rsidRPr="005D72BD">
        <w:rPr>
          <w:rFonts w:ascii="Calibri" w:eastAsia="Calibri" w:hAnsi="Calibri" w:cs="Times New Roman"/>
          <w:kern w:val="0"/>
          <w14:ligatures w14:val="none"/>
        </w:rPr>
        <w:t>orange</w:t>
      </w:r>
      <w:r w:rsidRPr="005D72BD">
        <w:rPr>
          <w:rFonts w:ascii="Calibri" w:eastAsia="Calibri" w:hAnsi="Calibri" w:cs="Times New Roman"/>
          <w:kern w:val="0"/>
          <w14:ligatures w14:val="none"/>
        </w:rPr>
        <w:t xml:space="preserve"> distributions represent clusters 1 and 2 within a Gaussian mixed model. </w:t>
      </w:r>
      <w:r w:rsidRPr="005D72BD">
        <w:rPr>
          <w:rFonts w:ascii="Calibri" w:eastAsia="Calibri" w:hAnsi="Calibri" w:cs="Times New Roman"/>
          <w:b/>
          <w:bCs/>
          <w:kern w:val="0"/>
          <w14:ligatures w14:val="none"/>
        </w:rPr>
        <w:t xml:space="preserve">c. </w:t>
      </w:r>
      <w:r w:rsidRPr="005D72BD">
        <w:rPr>
          <w:rFonts w:ascii="Calibri" w:eastAsia="Calibri" w:hAnsi="Calibri" w:cs="Times New Roman"/>
          <w:kern w:val="0"/>
          <w14:ligatures w14:val="none"/>
        </w:rPr>
        <w:t>Histogram of mean total reads (log</w:t>
      </w:r>
      <w:r w:rsidRPr="005D72BD">
        <w:rPr>
          <w:rFonts w:ascii="Calibri" w:eastAsia="Calibri" w:hAnsi="Calibri" w:cs="Times New Roman"/>
          <w:kern w:val="0"/>
          <w:vertAlign w:val="subscript"/>
          <w14:ligatures w14:val="none"/>
        </w:rPr>
        <w:t>10</w:t>
      </w:r>
      <w:r w:rsidRPr="005D72BD">
        <w:rPr>
          <w:rFonts w:ascii="Calibri" w:eastAsia="Calibri" w:hAnsi="Calibri" w:cs="Times New Roman"/>
          <w:kern w:val="0"/>
          <w14:ligatures w14:val="none"/>
        </w:rPr>
        <w:t>) per ASV as shown in panel b for 18S-V9 ASVs. d</w:t>
      </w:r>
      <w:r w:rsidRPr="005D72BD">
        <w:rPr>
          <w:rFonts w:ascii="Calibri" w:eastAsia="Calibri" w:hAnsi="Calibri" w:cs="Times New Roman"/>
          <w:b/>
          <w:bCs/>
          <w:kern w:val="0"/>
          <w14:ligatures w14:val="none"/>
        </w:rPr>
        <w:t xml:space="preserve">. </w:t>
      </w:r>
      <w:r w:rsidRPr="005D72BD">
        <w:rPr>
          <w:rFonts w:ascii="Calibri" w:eastAsia="Calibri" w:hAnsi="Calibri" w:cs="Times New Roman"/>
          <w:kern w:val="0"/>
          <w14:ligatures w14:val="none"/>
        </w:rPr>
        <w:t>Histogram of mean total reads (log</w:t>
      </w:r>
      <w:r w:rsidRPr="005D72BD">
        <w:rPr>
          <w:rFonts w:ascii="Calibri" w:eastAsia="Calibri" w:hAnsi="Calibri" w:cs="Times New Roman"/>
          <w:kern w:val="0"/>
          <w:vertAlign w:val="subscript"/>
          <w14:ligatures w14:val="none"/>
        </w:rPr>
        <w:t>10</w:t>
      </w:r>
      <w:r w:rsidRPr="005D72BD">
        <w:rPr>
          <w:rFonts w:ascii="Calibri" w:eastAsia="Calibri" w:hAnsi="Calibri" w:cs="Times New Roman"/>
          <w:kern w:val="0"/>
          <w14:ligatures w14:val="none"/>
        </w:rPr>
        <w:t xml:space="preserve">) per ASV as shown in panel b for 18S-V4 ASVs. </w:t>
      </w:r>
    </w:p>
    <w:p w14:paraId="5F706019" w14:textId="22331A38" w:rsidR="006071F0" w:rsidRPr="005D72BD" w:rsidRDefault="006071F0" w:rsidP="006071F0">
      <w:pPr>
        <w:spacing w:line="480" w:lineRule="auto"/>
        <w:jc w:val="center"/>
        <w:rPr>
          <w:rFonts w:ascii="Calibri" w:eastAsia="Calibri" w:hAnsi="Calibri" w:cs="Times New Roman"/>
          <w:b/>
          <w:bCs/>
          <w:kern w:val="0"/>
          <w14:ligatures w14:val="none"/>
        </w:rPr>
      </w:pPr>
      <w:r w:rsidRPr="005D72BD">
        <w:rPr>
          <w:noProof/>
          <w:lang w:val="en-IN" w:eastAsia="en-IN"/>
        </w:rPr>
        <w:lastRenderedPageBreak/>
        <w:drawing>
          <wp:inline distT="0" distB="0" distL="0" distR="0" wp14:anchorId="19CCAD80" wp14:editId="65438455">
            <wp:extent cx="5486400" cy="3657600"/>
            <wp:effectExtent l="0" t="0" r="0" b="0"/>
            <wp:docPr id="855765915" name="Picture 2" descr="A graph of a number of clus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765915" name="Picture 2" descr="A graph of a number of clusters&#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86400" cy="3657600"/>
                    </a:xfrm>
                    <a:prstGeom prst="rect">
                      <a:avLst/>
                    </a:prstGeom>
                    <a:noFill/>
                    <a:ln>
                      <a:noFill/>
                    </a:ln>
                  </pic:spPr>
                </pic:pic>
              </a:graphicData>
            </a:graphic>
          </wp:inline>
        </w:drawing>
      </w:r>
    </w:p>
    <w:p w14:paraId="3DDC8F25" w14:textId="290928D6" w:rsidR="006071F0" w:rsidRPr="005D72BD" w:rsidRDefault="006071F0" w:rsidP="006071F0">
      <w:pPr>
        <w:spacing w:line="480" w:lineRule="auto"/>
        <w:rPr>
          <w:rFonts w:ascii="Calibri" w:eastAsia="Calibri" w:hAnsi="Calibri" w:cs="Times New Roman"/>
          <w:kern w:val="0"/>
          <w14:ligatures w14:val="none"/>
        </w:rPr>
      </w:pPr>
      <w:r w:rsidRPr="005D72BD">
        <w:rPr>
          <w:rFonts w:ascii="Calibri" w:eastAsia="Calibri" w:hAnsi="Calibri" w:cs="Times New Roman"/>
          <w:b/>
          <w:bCs/>
          <w:kern w:val="0"/>
          <w14:ligatures w14:val="none"/>
        </w:rPr>
        <w:t xml:space="preserve">Supplementary Figure 2: </w:t>
      </w:r>
      <w:r w:rsidRPr="005D72BD">
        <w:rPr>
          <w:rFonts w:ascii="Calibri" w:eastAsia="Calibri" w:hAnsi="Calibri" w:cs="Times New Roman"/>
          <w:kern w:val="0"/>
          <w14:ligatures w14:val="none"/>
        </w:rPr>
        <w:t>Relative BIC values for the possible number of clusters derived from a Gaussian mixed model (</w:t>
      </w:r>
      <w:proofErr w:type="spellStart"/>
      <w:r w:rsidRPr="005D72BD">
        <w:rPr>
          <w:rFonts w:ascii="Calibri" w:eastAsia="Calibri" w:hAnsi="Calibri" w:cs="Times New Roman"/>
          <w:kern w:val="0"/>
          <w14:ligatures w14:val="none"/>
        </w:rPr>
        <w:t>mclust</w:t>
      </w:r>
      <w:proofErr w:type="spellEnd"/>
      <w:r w:rsidRPr="005D72BD">
        <w:rPr>
          <w:rFonts w:ascii="Calibri" w:eastAsia="Calibri" w:hAnsi="Calibri" w:cs="Times New Roman"/>
          <w:kern w:val="0"/>
          <w14:ligatures w14:val="none"/>
        </w:rPr>
        <w:t xml:space="preserve">, </w:t>
      </w:r>
      <w:r w:rsidRPr="005D72BD">
        <w:rPr>
          <w:rFonts w:ascii="Calibri" w:eastAsia="Calibri" w:hAnsi="Calibri" w:cs="Times New Roman"/>
          <w:kern w:val="0"/>
          <w14:ligatures w14:val="none"/>
        </w:rPr>
        <w:fldChar w:fldCharType="begin" w:fldLock="1"/>
      </w:r>
      <w:r w:rsidRPr="005D72BD">
        <w:rPr>
          <w:rFonts w:ascii="Calibri" w:eastAsia="Calibri" w:hAnsi="Calibri" w:cs="Times New Roman"/>
          <w:kern w:val="0"/>
          <w14:ligatures w14:val="none"/>
        </w:rPr>
        <w:instrText>ADDIN CSL_CITATION {"citationItems":[{"id":"ITEM-1","itemData":{"DOI":"10.32614/rj-2016-021","ISSN":"20734859","PMID":"27818791","abstract":"Finite mixture models are being used increasingly to model a wide variety of random phenomena for clustering, classification and density estimation. mclust is a powerful and popular package which allows modelling of data as a Gaussian finite mixture with different covariance structures and different numbers of mixture components, for a variety of purposes of analysis. Recently, version 5 of the package has been made available on CRAN. This updated version adds new covariance structures, dimension reduction capabilities for visualisation, model selection criteria, initialisation strategies for the EM algorithm, and bootstrap-based inference, making it a full-featured R package for data analysis via finite mixture modelling.","author":[{"dropping-particle":"","family":"Scrucca","given":"Luca","non-dropping-particle":"","parse-names":false,"suffix":""},{"dropping-particle":"","family":"Fop","given":"Michael","non-dropping-particle":"","parse-names":false,"suffix":""},{"dropping-particle":"","family":"Murphy","given":"T. Brendan","non-dropping-particle":"","parse-names":false,"suffix":""},{"dropping-particle":"","family":"Raftery","given":"Adrian E.","non-dropping-particle":"","parse-names":false,"suffix":""}],"container-title":"R Journal","id":"ITEM-1","issue":"1","issued":{"date-parts":[["2016"]]},"page":"289-317","title":"Mclust 5: Clustering, classification and density estimation using Gaussian finite mixture models","type":"article-journal","volume":"8"},"uris":["http://www.mendeley.com/documents/?uuid=5a5a736e-9c6a-3a33-a6fe-633c0596b81e"]}],"mendeley":{"formattedCitation":"&lt;sup&gt;33&lt;/sup&gt;","manualFormatting":"Scrucca et al. n.d. ","plainTextFormattedCitation":"33","previouslyFormattedCitation":"&lt;sup&gt;33&lt;/sup&gt;"},"properties":{"noteIndex":0},"schema":"https://github.com/citation-style-language/schema/raw/master/csl-citation.json"}</w:instrText>
      </w:r>
      <w:r w:rsidRPr="005D72BD">
        <w:rPr>
          <w:rFonts w:ascii="Calibri" w:eastAsia="Calibri" w:hAnsi="Calibri" w:cs="Times New Roman"/>
          <w:kern w:val="0"/>
          <w14:ligatures w14:val="none"/>
        </w:rPr>
        <w:fldChar w:fldCharType="separate"/>
      </w:r>
      <w:r w:rsidRPr="005D72BD">
        <w:rPr>
          <w:rFonts w:ascii="Calibri" w:eastAsia="Calibri" w:hAnsi="Calibri" w:cs="Times New Roman"/>
          <w:noProof/>
          <w:kern w:val="0"/>
          <w14:ligatures w14:val="none"/>
        </w:rPr>
        <w:t xml:space="preserve">Scrucca </w:t>
      </w:r>
      <w:r w:rsidRPr="005D72BD">
        <w:rPr>
          <w:rFonts w:ascii="Calibri" w:eastAsia="Calibri" w:hAnsi="Calibri" w:cs="Times New Roman"/>
          <w:i/>
          <w:noProof/>
          <w:kern w:val="0"/>
          <w14:ligatures w14:val="none"/>
        </w:rPr>
        <w:t>et al.</w:t>
      </w:r>
      <w:r w:rsidRPr="005D72BD">
        <w:rPr>
          <w:rFonts w:ascii="Calibri" w:eastAsia="Calibri" w:hAnsi="Calibri" w:cs="Times New Roman"/>
          <w:noProof/>
          <w:kern w:val="0"/>
          <w14:ligatures w14:val="none"/>
        </w:rPr>
        <w:t xml:space="preserve"> n.d.</w:t>
      </w:r>
      <w:r w:rsidRPr="005D72BD" w:rsidDel="002839F6">
        <w:rPr>
          <w:rFonts w:ascii="Calibri" w:eastAsia="Calibri" w:hAnsi="Calibri" w:cs="Times New Roman"/>
          <w:noProof/>
          <w:kern w:val="0"/>
          <w14:ligatures w14:val="none"/>
        </w:rPr>
        <w:t xml:space="preserve"> </w:t>
      </w:r>
      <w:r w:rsidRPr="005D72BD">
        <w:rPr>
          <w:rFonts w:ascii="Calibri" w:eastAsia="Calibri" w:hAnsi="Calibri" w:cs="Times New Roman"/>
          <w:kern w:val="0"/>
          <w14:ligatures w14:val="none"/>
        </w:rPr>
        <w:fldChar w:fldCharType="end"/>
      </w:r>
      <w:r w:rsidRPr="005D72BD">
        <w:rPr>
          <w:rFonts w:ascii="Calibri" w:eastAsia="Calibri" w:hAnsi="Calibri" w:cs="Times New Roman"/>
          <w:kern w:val="0"/>
          <w14:ligatures w14:val="none"/>
        </w:rPr>
        <w:t>). Colors indicate 16S (red), 18S-V4 (green), and 18S-V9 (blue).</w:t>
      </w:r>
    </w:p>
    <w:p w14:paraId="3ABD1E3A" w14:textId="53F384AA" w:rsidR="006071F0" w:rsidRPr="005D72BD" w:rsidRDefault="009F570B" w:rsidP="006071F0">
      <w:pPr>
        <w:spacing w:line="480" w:lineRule="auto"/>
        <w:jc w:val="center"/>
        <w:rPr>
          <w:rFonts w:ascii="Calibri" w:eastAsia="Calibri" w:hAnsi="Calibri" w:cs="Times New Roman"/>
          <w:kern w:val="0"/>
          <w14:ligatures w14:val="none"/>
        </w:rPr>
      </w:pPr>
      <w:r w:rsidRPr="005D72BD">
        <w:rPr>
          <w:rFonts w:ascii="Calibri" w:eastAsia="Calibri" w:hAnsi="Calibri" w:cs="Times New Roman"/>
          <w:noProof/>
          <w:kern w:val="0"/>
          <w:lang w:val="en-IN" w:eastAsia="en-IN"/>
          <w14:ligatures w14:val="none"/>
        </w:rPr>
        <w:lastRenderedPageBreak/>
        <w:drawing>
          <wp:inline distT="0" distB="0" distL="0" distR="0" wp14:anchorId="160E3BDA" wp14:editId="307D2540">
            <wp:extent cx="5943600" cy="6764020"/>
            <wp:effectExtent l="0" t="0" r="0" b="0"/>
            <wp:docPr id="922922257" name="Picture 2"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922257" name="Picture 2" descr="A screenshot of a graph&#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6764020"/>
                    </a:xfrm>
                    <a:prstGeom prst="rect">
                      <a:avLst/>
                    </a:prstGeom>
                    <a:noFill/>
                    <a:ln>
                      <a:noFill/>
                    </a:ln>
                  </pic:spPr>
                </pic:pic>
              </a:graphicData>
            </a:graphic>
          </wp:inline>
        </w:drawing>
      </w:r>
    </w:p>
    <w:p w14:paraId="6A62064A" w14:textId="77777777" w:rsidR="006071F0" w:rsidRPr="005D72BD" w:rsidRDefault="006071F0" w:rsidP="006071F0">
      <w:pPr>
        <w:spacing w:line="480" w:lineRule="auto"/>
        <w:rPr>
          <w:rFonts w:ascii="Calibri" w:eastAsia="Calibri" w:hAnsi="Calibri" w:cs="Times New Roman"/>
          <w:b/>
          <w:kern w:val="0"/>
          <w14:ligatures w14:val="none"/>
        </w:rPr>
      </w:pPr>
    </w:p>
    <w:p w14:paraId="4A4D0F41" w14:textId="77777777" w:rsidR="006071F0" w:rsidRPr="005D72BD" w:rsidRDefault="006071F0" w:rsidP="006071F0">
      <w:pPr>
        <w:spacing w:line="480" w:lineRule="auto"/>
        <w:rPr>
          <w:rFonts w:ascii="Calibri" w:eastAsia="Calibri" w:hAnsi="Calibri" w:cs="Times New Roman"/>
          <w:b/>
          <w:kern w:val="0"/>
          <w14:ligatures w14:val="none"/>
        </w:rPr>
      </w:pPr>
    </w:p>
    <w:p w14:paraId="516C54C2" w14:textId="2BF7538D" w:rsidR="006071F0" w:rsidRPr="005D72BD" w:rsidRDefault="006071F0" w:rsidP="006071F0">
      <w:pPr>
        <w:spacing w:line="480" w:lineRule="auto"/>
        <w:rPr>
          <w:rFonts w:ascii="Calibri" w:eastAsia="Calibri" w:hAnsi="Calibri" w:cs="Times New Roman"/>
          <w:bCs/>
          <w:kern w:val="0"/>
          <w14:ligatures w14:val="none"/>
        </w:rPr>
      </w:pPr>
      <w:r w:rsidRPr="005D72BD">
        <w:rPr>
          <w:rFonts w:ascii="Calibri" w:eastAsia="Calibri" w:hAnsi="Calibri" w:cs="Times New Roman"/>
          <w:b/>
          <w:kern w:val="0"/>
          <w14:ligatures w14:val="none"/>
        </w:rPr>
        <w:lastRenderedPageBreak/>
        <w:t xml:space="preserve">Supplementary </w:t>
      </w:r>
      <w:bookmarkStart w:id="0" w:name="_Hlk102119788"/>
      <w:r w:rsidRPr="005D72BD">
        <w:rPr>
          <w:rFonts w:ascii="Calibri" w:eastAsia="Calibri" w:hAnsi="Calibri" w:cs="Times New Roman"/>
          <w:b/>
          <w:kern w:val="0"/>
          <w14:ligatures w14:val="none"/>
        </w:rPr>
        <w:t>Figure 3:</w:t>
      </w:r>
      <w:r w:rsidRPr="005D72BD">
        <w:rPr>
          <w:rFonts w:ascii="Calibri" w:eastAsia="Calibri" w:hAnsi="Calibri" w:cs="Times New Roman"/>
          <w:bCs/>
          <w:kern w:val="0"/>
          <w14:ligatures w14:val="none"/>
        </w:rPr>
        <w:t xml:space="preserve"> Taxonomic composition of 16S ASVs per region. </w:t>
      </w:r>
      <w:r w:rsidRPr="005D72BD">
        <w:rPr>
          <w:rFonts w:ascii="Calibri" w:eastAsia="Calibri" w:hAnsi="Calibri" w:cs="Times New Roman"/>
          <w:b/>
          <w:kern w:val="0"/>
          <w14:ligatures w14:val="none"/>
        </w:rPr>
        <w:t>a</w:t>
      </w:r>
      <w:r w:rsidRPr="005D72BD">
        <w:rPr>
          <w:rFonts w:ascii="Calibri" w:eastAsia="Calibri" w:hAnsi="Calibri" w:cs="Times New Roman"/>
          <w:bCs/>
          <w:kern w:val="0"/>
          <w14:ligatures w14:val="none"/>
        </w:rPr>
        <w:t xml:space="preserve">, Relative proportion of ASVs in broad taxonomic groups per regional dataset </w:t>
      </w:r>
      <w:r w:rsidRPr="005D72BD">
        <w:rPr>
          <w:rFonts w:ascii="Calibri" w:eastAsia="Calibri" w:hAnsi="Calibri" w:cs="Times New Roman"/>
          <w:b/>
          <w:kern w:val="0"/>
          <w14:ligatures w14:val="none"/>
        </w:rPr>
        <w:t>b</w:t>
      </w:r>
      <w:r w:rsidRPr="005D72BD">
        <w:rPr>
          <w:rFonts w:ascii="Calibri" w:eastAsia="Calibri" w:hAnsi="Calibri" w:cs="Times New Roman"/>
          <w:bCs/>
          <w:kern w:val="0"/>
          <w14:ligatures w14:val="none"/>
        </w:rPr>
        <w:t xml:space="preserve">, Representation of broad taxonomic groups (# ASVs) in each regional dataset relative to their representation across all NCOG 16S ASVs. </w:t>
      </w:r>
      <w:r w:rsidRPr="005D72BD">
        <w:rPr>
          <w:rFonts w:ascii="Calibri" w:eastAsia="Calibri" w:hAnsi="Calibri" w:cs="Calibri"/>
          <w:bCs/>
          <w:kern w:val="0"/>
          <w14:ligatures w14:val="none"/>
        </w:rPr>
        <w:t>Δ</w:t>
      </w:r>
      <w:r w:rsidRPr="005D72BD">
        <w:rPr>
          <w:rFonts w:ascii="Calibri" w:eastAsia="Calibri" w:hAnsi="Calibri" w:cs="Times New Roman"/>
          <w:bCs/>
          <w:kern w:val="0"/>
          <w14:ligatures w14:val="none"/>
        </w:rPr>
        <w:t xml:space="preserve"> Relative Occurrence = Proportional Richness per region / Proportional Richness within NCOG per taxonomic group. Larger numbers indicate that a given taxonomic group represents a larger proportion of a particular regional richness compared to its proportional richness in NCOG. Zero values indicate that that taxonomic group is not found in a particular region.</w:t>
      </w:r>
      <w:bookmarkEnd w:id="0"/>
    </w:p>
    <w:p w14:paraId="2676D70A" w14:textId="02B432F0" w:rsidR="006071F0" w:rsidRPr="005D72BD" w:rsidRDefault="00D04C8B" w:rsidP="006071F0">
      <w:pPr>
        <w:spacing w:line="480" w:lineRule="auto"/>
        <w:rPr>
          <w:rFonts w:ascii="Calibri" w:eastAsia="Calibri" w:hAnsi="Calibri" w:cs="Times New Roman"/>
          <w:b/>
          <w:kern w:val="0"/>
          <w14:ligatures w14:val="none"/>
        </w:rPr>
      </w:pPr>
      <w:r w:rsidRPr="005D72BD">
        <w:rPr>
          <w:rFonts w:ascii="Calibri" w:eastAsia="Calibri" w:hAnsi="Calibri" w:cs="Times New Roman"/>
          <w:b/>
          <w:noProof/>
          <w:kern w:val="0"/>
          <w:lang w:val="en-IN" w:eastAsia="en-IN"/>
          <w14:ligatures w14:val="none"/>
        </w:rPr>
        <w:lastRenderedPageBreak/>
        <w:drawing>
          <wp:inline distT="0" distB="0" distL="0" distR="0" wp14:anchorId="593CEA8E" wp14:editId="3C52AF95">
            <wp:extent cx="5943600" cy="6765290"/>
            <wp:effectExtent l="0" t="0" r="0" b="0"/>
            <wp:docPr id="248879231"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879231" name="Picture 1" descr="A screenshot of a computer screen&#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6765290"/>
                    </a:xfrm>
                    <a:prstGeom prst="rect">
                      <a:avLst/>
                    </a:prstGeom>
                    <a:noFill/>
                    <a:ln>
                      <a:noFill/>
                    </a:ln>
                  </pic:spPr>
                </pic:pic>
              </a:graphicData>
            </a:graphic>
          </wp:inline>
        </w:drawing>
      </w:r>
    </w:p>
    <w:p w14:paraId="22E4AD2D" w14:textId="77777777" w:rsidR="006071F0" w:rsidRPr="005D72BD" w:rsidRDefault="006071F0" w:rsidP="006071F0">
      <w:pPr>
        <w:spacing w:line="480" w:lineRule="auto"/>
        <w:rPr>
          <w:rFonts w:ascii="Calibri" w:eastAsia="Calibri" w:hAnsi="Calibri" w:cs="Times New Roman"/>
          <w:b/>
          <w:kern w:val="0"/>
          <w14:ligatures w14:val="none"/>
        </w:rPr>
      </w:pPr>
    </w:p>
    <w:p w14:paraId="077EE597" w14:textId="77777777" w:rsidR="006071F0" w:rsidRPr="005D72BD" w:rsidRDefault="006071F0" w:rsidP="006071F0">
      <w:pPr>
        <w:spacing w:line="480" w:lineRule="auto"/>
        <w:rPr>
          <w:rFonts w:ascii="Calibri" w:eastAsia="Calibri" w:hAnsi="Calibri" w:cs="Times New Roman"/>
          <w:b/>
          <w:kern w:val="0"/>
          <w14:ligatures w14:val="none"/>
        </w:rPr>
      </w:pPr>
    </w:p>
    <w:p w14:paraId="6ACDECD0" w14:textId="4D3F1113" w:rsidR="002B425C" w:rsidRPr="005D72BD" w:rsidRDefault="006071F0" w:rsidP="006071F0">
      <w:pPr>
        <w:spacing w:line="480" w:lineRule="auto"/>
        <w:rPr>
          <w:rFonts w:ascii="Calibri" w:eastAsia="Calibri" w:hAnsi="Calibri" w:cs="Times New Roman"/>
          <w:b/>
          <w:bCs/>
          <w:kern w:val="0"/>
          <w14:ligatures w14:val="none"/>
        </w:rPr>
      </w:pPr>
      <w:r w:rsidRPr="005D72BD">
        <w:rPr>
          <w:rFonts w:ascii="Calibri" w:eastAsia="Calibri" w:hAnsi="Calibri" w:cs="Times New Roman"/>
          <w:b/>
          <w:kern w:val="0"/>
          <w14:ligatures w14:val="none"/>
        </w:rPr>
        <w:lastRenderedPageBreak/>
        <w:t xml:space="preserve">Supplementary </w:t>
      </w:r>
      <w:bookmarkStart w:id="1" w:name="_Hlk102119923"/>
      <w:r w:rsidRPr="005D72BD">
        <w:rPr>
          <w:rFonts w:ascii="Calibri" w:eastAsia="Calibri" w:hAnsi="Calibri" w:cs="Times New Roman"/>
          <w:b/>
          <w:kern w:val="0"/>
          <w14:ligatures w14:val="none"/>
        </w:rPr>
        <w:t>Figure 4:</w:t>
      </w:r>
      <w:r w:rsidRPr="005D72BD">
        <w:rPr>
          <w:rFonts w:ascii="Calibri" w:eastAsia="Calibri" w:hAnsi="Calibri" w:cs="Times New Roman"/>
          <w:bCs/>
          <w:kern w:val="0"/>
          <w14:ligatures w14:val="none"/>
        </w:rPr>
        <w:t xml:space="preserve"> Taxonomic composition of 18S-V9 ASVs per region. </w:t>
      </w:r>
      <w:r w:rsidRPr="005D72BD">
        <w:rPr>
          <w:rFonts w:ascii="Calibri" w:eastAsia="Calibri" w:hAnsi="Calibri" w:cs="Times New Roman"/>
          <w:b/>
          <w:kern w:val="0"/>
          <w14:ligatures w14:val="none"/>
        </w:rPr>
        <w:t>a</w:t>
      </w:r>
      <w:r w:rsidRPr="005D72BD">
        <w:rPr>
          <w:rFonts w:ascii="Calibri" w:eastAsia="Calibri" w:hAnsi="Calibri" w:cs="Times New Roman"/>
          <w:bCs/>
          <w:kern w:val="0"/>
          <w14:ligatures w14:val="none"/>
        </w:rPr>
        <w:t xml:space="preserve">, Relative proportion of ASVs in broad taxonomic groups per regional dataset </w:t>
      </w:r>
      <w:r w:rsidRPr="005D72BD">
        <w:rPr>
          <w:rFonts w:ascii="Calibri" w:eastAsia="Calibri" w:hAnsi="Calibri" w:cs="Times New Roman"/>
          <w:b/>
          <w:kern w:val="0"/>
          <w14:ligatures w14:val="none"/>
        </w:rPr>
        <w:t>b</w:t>
      </w:r>
      <w:r w:rsidRPr="005D72BD">
        <w:rPr>
          <w:rFonts w:ascii="Calibri" w:eastAsia="Calibri" w:hAnsi="Calibri" w:cs="Times New Roman"/>
          <w:bCs/>
          <w:kern w:val="0"/>
          <w14:ligatures w14:val="none"/>
        </w:rPr>
        <w:t xml:space="preserve">, Representation of broad taxonomic groups (# ASVs) in each regional dataset relative to their representation across all NCOG 18S-V9 ASVs. </w:t>
      </w:r>
      <w:r w:rsidRPr="005D72BD">
        <w:rPr>
          <w:rFonts w:ascii="Calibri" w:eastAsia="Calibri" w:hAnsi="Calibri" w:cs="Calibri"/>
          <w:bCs/>
          <w:kern w:val="0"/>
          <w14:ligatures w14:val="none"/>
        </w:rPr>
        <w:t>Δ</w:t>
      </w:r>
      <w:r w:rsidRPr="005D72BD">
        <w:rPr>
          <w:rFonts w:ascii="Calibri" w:eastAsia="Calibri" w:hAnsi="Calibri" w:cs="Times New Roman"/>
          <w:bCs/>
          <w:kern w:val="0"/>
          <w14:ligatures w14:val="none"/>
        </w:rPr>
        <w:t xml:space="preserve"> Relative Occurrence = Proportional Richness per region / Proportional Richness within NCOG per taxonomic group. Larger numbers indicate that a given taxonomic group represents a larger proportion of a particular regional richness compared to its proportional richness in NCOG. Zero values indicate that that taxonomic group is not found in a p</w:t>
      </w:r>
      <w:bookmarkStart w:id="2" w:name="_GoBack"/>
      <w:bookmarkEnd w:id="2"/>
      <w:r w:rsidRPr="005D72BD">
        <w:rPr>
          <w:rFonts w:ascii="Calibri" w:eastAsia="Calibri" w:hAnsi="Calibri" w:cs="Times New Roman"/>
          <w:bCs/>
          <w:kern w:val="0"/>
          <w14:ligatures w14:val="none"/>
        </w:rPr>
        <w:t>articular region.</w:t>
      </w:r>
      <w:bookmarkEnd w:id="1"/>
    </w:p>
    <w:sectPr w:rsidR="002B425C" w:rsidRPr="005D72BD" w:rsidSect="005D72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71F0"/>
    <w:rsid w:val="001D3732"/>
    <w:rsid w:val="00295C3A"/>
    <w:rsid w:val="002B425C"/>
    <w:rsid w:val="004D2DC1"/>
    <w:rsid w:val="005473A7"/>
    <w:rsid w:val="00567DD8"/>
    <w:rsid w:val="005D72BD"/>
    <w:rsid w:val="006071F0"/>
    <w:rsid w:val="008F585C"/>
    <w:rsid w:val="009F570B"/>
    <w:rsid w:val="00C40D30"/>
    <w:rsid w:val="00C80F5B"/>
    <w:rsid w:val="00D04C8B"/>
    <w:rsid w:val="00FE25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9A0C2"/>
  <w15:chartTrackingRefBased/>
  <w15:docId w15:val="{5E60EA38-B5D6-4C1C-8081-18644F3E1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071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71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71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71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71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71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71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71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71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aliases w:val="mmmm"/>
    <w:basedOn w:val="Normal"/>
    <w:next w:val="Normal"/>
    <w:autoRedefine/>
    <w:uiPriority w:val="39"/>
    <w:unhideWhenUsed/>
    <w:rsid w:val="00C40D30"/>
    <w:pPr>
      <w:spacing w:before="240" w:after="240" w:line="240" w:lineRule="auto"/>
    </w:pPr>
    <w:rPr>
      <w:rFonts w:ascii="Times New Roman" w:eastAsia="Times New Roman" w:hAnsi="Times New Roman" w:cstheme="majorBidi"/>
      <w:bCs/>
      <w:color w:val="000000" w:themeColor="text1"/>
      <w:sz w:val="24"/>
      <w:szCs w:val="20"/>
    </w:rPr>
  </w:style>
  <w:style w:type="paragraph" w:styleId="TOC2">
    <w:name w:val="toc 2"/>
    <w:basedOn w:val="Normal"/>
    <w:next w:val="Normal"/>
    <w:autoRedefine/>
    <w:uiPriority w:val="39"/>
    <w:unhideWhenUsed/>
    <w:rsid w:val="005473A7"/>
    <w:pPr>
      <w:spacing w:before="120" w:after="0" w:line="240" w:lineRule="auto"/>
      <w:ind w:left="240"/>
    </w:pPr>
    <w:rPr>
      <w:rFonts w:ascii="Times New Roman" w:eastAsia="Times New Roman" w:hAnsi="Times New Roman" w:cs="Times New Roman"/>
      <w:bCs/>
      <w:sz w:val="24"/>
    </w:rPr>
  </w:style>
  <w:style w:type="paragraph" w:styleId="TOC3">
    <w:name w:val="toc 3"/>
    <w:basedOn w:val="Normal"/>
    <w:next w:val="Normal"/>
    <w:autoRedefine/>
    <w:uiPriority w:val="39"/>
    <w:unhideWhenUsed/>
    <w:rsid w:val="005473A7"/>
    <w:pPr>
      <w:spacing w:after="0" w:line="240" w:lineRule="auto"/>
      <w:ind w:left="480"/>
    </w:pPr>
    <w:rPr>
      <w:rFonts w:ascii="Times New Roman" w:eastAsia="Times New Roman" w:hAnsi="Times New Roman" w:cs="Times New Roman"/>
      <w:sz w:val="24"/>
      <w:szCs w:val="20"/>
    </w:rPr>
  </w:style>
  <w:style w:type="paragraph" w:styleId="TOC4">
    <w:name w:val="toc 4"/>
    <w:basedOn w:val="Normal"/>
    <w:next w:val="Normal"/>
    <w:autoRedefine/>
    <w:uiPriority w:val="39"/>
    <w:unhideWhenUsed/>
    <w:rsid w:val="005473A7"/>
    <w:pPr>
      <w:spacing w:after="0" w:line="240" w:lineRule="auto"/>
      <w:ind w:left="720"/>
    </w:pPr>
    <w:rPr>
      <w:rFonts w:ascii="Times New Roman" w:eastAsia="Times New Roman" w:hAnsi="Times New Roman" w:cs="Times New Roman"/>
      <w:sz w:val="24"/>
      <w:szCs w:val="20"/>
    </w:rPr>
  </w:style>
  <w:style w:type="character" w:customStyle="1" w:styleId="Heading1Char">
    <w:name w:val="Heading 1 Char"/>
    <w:basedOn w:val="DefaultParagraphFont"/>
    <w:link w:val="Heading1"/>
    <w:uiPriority w:val="9"/>
    <w:rsid w:val="006071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71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71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71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71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71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71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71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71F0"/>
    <w:rPr>
      <w:rFonts w:eastAsiaTheme="majorEastAsia" w:cstheme="majorBidi"/>
      <w:color w:val="272727" w:themeColor="text1" w:themeTint="D8"/>
    </w:rPr>
  </w:style>
  <w:style w:type="paragraph" w:styleId="Title">
    <w:name w:val="Title"/>
    <w:basedOn w:val="Normal"/>
    <w:next w:val="Normal"/>
    <w:link w:val="TitleChar"/>
    <w:uiPriority w:val="10"/>
    <w:qFormat/>
    <w:rsid w:val="006071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71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71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71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71F0"/>
    <w:pPr>
      <w:spacing w:before="160"/>
      <w:jc w:val="center"/>
    </w:pPr>
    <w:rPr>
      <w:i/>
      <w:iCs/>
      <w:color w:val="404040" w:themeColor="text1" w:themeTint="BF"/>
    </w:rPr>
  </w:style>
  <w:style w:type="character" w:customStyle="1" w:styleId="QuoteChar">
    <w:name w:val="Quote Char"/>
    <w:basedOn w:val="DefaultParagraphFont"/>
    <w:link w:val="Quote"/>
    <w:uiPriority w:val="29"/>
    <w:rsid w:val="006071F0"/>
    <w:rPr>
      <w:i/>
      <w:iCs/>
      <w:color w:val="404040" w:themeColor="text1" w:themeTint="BF"/>
    </w:rPr>
  </w:style>
  <w:style w:type="paragraph" w:styleId="ListParagraph">
    <w:name w:val="List Paragraph"/>
    <w:basedOn w:val="Normal"/>
    <w:uiPriority w:val="34"/>
    <w:qFormat/>
    <w:rsid w:val="006071F0"/>
    <w:pPr>
      <w:ind w:left="720"/>
      <w:contextualSpacing/>
    </w:pPr>
  </w:style>
  <w:style w:type="character" w:styleId="IntenseEmphasis">
    <w:name w:val="Intense Emphasis"/>
    <w:basedOn w:val="DefaultParagraphFont"/>
    <w:uiPriority w:val="21"/>
    <w:qFormat/>
    <w:rsid w:val="006071F0"/>
    <w:rPr>
      <w:i/>
      <w:iCs/>
      <w:color w:val="0F4761" w:themeColor="accent1" w:themeShade="BF"/>
    </w:rPr>
  </w:style>
  <w:style w:type="paragraph" w:styleId="IntenseQuote">
    <w:name w:val="Intense Quote"/>
    <w:basedOn w:val="Normal"/>
    <w:next w:val="Normal"/>
    <w:link w:val="IntenseQuoteChar"/>
    <w:uiPriority w:val="30"/>
    <w:qFormat/>
    <w:rsid w:val="006071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71F0"/>
    <w:rPr>
      <w:i/>
      <w:iCs/>
      <w:color w:val="0F4761" w:themeColor="accent1" w:themeShade="BF"/>
    </w:rPr>
  </w:style>
  <w:style w:type="character" w:styleId="IntenseReference">
    <w:name w:val="Intense Reference"/>
    <w:basedOn w:val="DefaultParagraphFont"/>
    <w:uiPriority w:val="32"/>
    <w:qFormat/>
    <w:rsid w:val="006071F0"/>
    <w:rPr>
      <w:b/>
      <w:bCs/>
      <w:smallCaps/>
      <w:color w:val="0F4761" w:themeColor="accent1" w:themeShade="BF"/>
      <w:spacing w:val="5"/>
    </w:rPr>
  </w:style>
  <w:style w:type="character" w:styleId="LineNumber">
    <w:name w:val="line number"/>
    <w:basedOn w:val="DefaultParagraphFont"/>
    <w:uiPriority w:val="99"/>
    <w:semiHidden/>
    <w:unhideWhenUsed/>
    <w:rsid w:val="006071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6</Pages>
  <Words>631</Words>
  <Characters>3601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Chase C James</dc:creator>
  <cp:keywords/>
  <dc:description/>
  <cp:lastModifiedBy>Ramya G Gunashankar P</cp:lastModifiedBy>
  <cp:revision>4</cp:revision>
  <dcterms:created xsi:type="dcterms:W3CDTF">2024-04-09T18:33:00Z</dcterms:created>
  <dcterms:modified xsi:type="dcterms:W3CDTF">2024-08-12T15:46:00Z</dcterms:modified>
</cp:coreProperties>
</file>