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2276"/>
        <w:gridCol w:w="2010"/>
        <w:gridCol w:w="2010"/>
        <w:gridCol w:w="2010"/>
      </w:tblGrid>
      <w:tr w:rsidR="00BC1E55" w:rsidRPr="00DC44A6" w14:paraId="30FC551B" w14:textId="77777777" w:rsidTr="00EC0F91">
        <w:trPr>
          <w:trHeight w:val="399"/>
        </w:trPr>
        <w:tc>
          <w:tcPr>
            <w:tcW w:w="0" w:type="auto"/>
            <w:gridSpan w:val="4"/>
            <w:tcBorders>
              <w:top w:val="nil"/>
              <w:left w:val="nil"/>
              <w:bottom w:val="single" w:sz="4" w:space="0" w:color="auto"/>
              <w:right w:val="nil"/>
            </w:tcBorders>
            <w:shd w:val="clear" w:color="auto" w:fill="auto"/>
            <w:vAlign w:val="center"/>
            <w:hideMark/>
          </w:tcPr>
          <w:p w14:paraId="75C8BCB5" w14:textId="5B56465B" w:rsidR="00EC0F91" w:rsidRPr="00DC44A6" w:rsidRDefault="00EC0F91" w:rsidP="00EC0F91">
            <w:pPr>
              <w:widowControl/>
              <w:spacing w:line="480" w:lineRule="auto"/>
              <w:jc w:val="left"/>
              <w:rPr>
                <w:rFonts w:ascii="Times New Roman" w:eastAsia="SimSun" w:hAnsi="Times New Roman" w:cs="Times New Roman"/>
                <w:b/>
                <w:bCs/>
                <w:kern w:val="0"/>
                <w:sz w:val="18"/>
                <w:szCs w:val="18"/>
                <w14:ligatures w14:val="none"/>
              </w:rPr>
            </w:pPr>
            <w:r w:rsidRPr="00DC44A6">
              <w:rPr>
                <w:rFonts w:ascii="Times New Roman" w:eastAsia="SimSun" w:hAnsi="Times New Roman" w:cs="Times New Roman"/>
                <w:b/>
                <w:bCs/>
                <w:kern w:val="0"/>
                <w:sz w:val="18"/>
                <w:szCs w:val="18"/>
                <w14:ligatures w14:val="none"/>
              </w:rPr>
              <w:t>Supplementary Table 1.</w:t>
            </w:r>
            <w:r w:rsidRPr="00DC44A6">
              <w:rPr>
                <w:rFonts w:ascii="Times New Roman" w:eastAsia="SimSun" w:hAnsi="Times New Roman" w:cs="Times New Roman"/>
                <w:kern w:val="0"/>
                <w:sz w:val="18"/>
                <w:szCs w:val="18"/>
                <w14:ligatures w14:val="none"/>
              </w:rPr>
              <w:t xml:space="preserve"> Association between blood selenium and blood manganese with </w:t>
            </w:r>
            <w:r w:rsidR="006773A5" w:rsidRPr="00DC44A6">
              <w:rPr>
                <w:rFonts w:ascii="Times New Roman" w:eastAsia="SimSun" w:hAnsi="Times New Roman" w:cs="Times New Roman"/>
                <w:kern w:val="0"/>
                <w:sz w:val="18"/>
                <w:szCs w:val="18"/>
                <w14:ligatures w14:val="none"/>
              </w:rPr>
              <w:t xml:space="preserve">respiratory disease-related </w:t>
            </w:r>
            <w:r w:rsidRPr="00DC44A6">
              <w:rPr>
                <w:rFonts w:ascii="Times New Roman" w:eastAsia="SimSun" w:hAnsi="Times New Roman" w:cs="Times New Roman"/>
                <w:kern w:val="0"/>
                <w:sz w:val="18"/>
                <w:szCs w:val="18"/>
                <w14:ligatures w14:val="none"/>
              </w:rPr>
              <w:t>mortality in asthmatic adults.</w:t>
            </w:r>
          </w:p>
        </w:tc>
      </w:tr>
      <w:tr w:rsidR="00BC1E55" w:rsidRPr="00DC44A6" w14:paraId="7745CB17" w14:textId="77777777" w:rsidTr="00EC0F91">
        <w:trPr>
          <w:trHeight w:val="399"/>
        </w:trPr>
        <w:tc>
          <w:tcPr>
            <w:tcW w:w="0" w:type="auto"/>
            <w:tcBorders>
              <w:top w:val="nil"/>
              <w:left w:val="nil"/>
              <w:bottom w:val="nil"/>
              <w:right w:val="nil"/>
            </w:tcBorders>
            <w:shd w:val="clear" w:color="auto" w:fill="auto"/>
            <w:vAlign w:val="center"/>
            <w:hideMark/>
          </w:tcPr>
          <w:p w14:paraId="5B59AF45"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 xml:space="preserve">　</w:t>
            </w:r>
          </w:p>
        </w:tc>
        <w:tc>
          <w:tcPr>
            <w:tcW w:w="0" w:type="auto"/>
            <w:tcBorders>
              <w:top w:val="nil"/>
              <w:left w:val="nil"/>
              <w:bottom w:val="nil"/>
              <w:right w:val="nil"/>
            </w:tcBorders>
            <w:shd w:val="clear" w:color="auto" w:fill="auto"/>
            <w:vAlign w:val="center"/>
            <w:hideMark/>
          </w:tcPr>
          <w:p w14:paraId="1AA5C854"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Model 1</w:t>
            </w:r>
          </w:p>
        </w:tc>
        <w:tc>
          <w:tcPr>
            <w:tcW w:w="0" w:type="auto"/>
            <w:tcBorders>
              <w:top w:val="nil"/>
              <w:left w:val="nil"/>
              <w:bottom w:val="nil"/>
              <w:right w:val="nil"/>
            </w:tcBorders>
            <w:shd w:val="clear" w:color="auto" w:fill="auto"/>
            <w:vAlign w:val="center"/>
            <w:hideMark/>
          </w:tcPr>
          <w:p w14:paraId="65030552"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Model 2</w:t>
            </w:r>
          </w:p>
        </w:tc>
        <w:tc>
          <w:tcPr>
            <w:tcW w:w="0" w:type="auto"/>
            <w:tcBorders>
              <w:top w:val="nil"/>
              <w:left w:val="nil"/>
              <w:bottom w:val="nil"/>
              <w:right w:val="nil"/>
            </w:tcBorders>
            <w:shd w:val="clear" w:color="auto" w:fill="auto"/>
            <w:vAlign w:val="center"/>
            <w:hideMark/>
          </w:tcPr>
          <w:p w14:paraId="3FF00D94"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Model 3</w:t>
            </w:r>
          </w:p>
        </w:tc>
      </w:tr>
      <w:tr w:rsidR="00BC1E55" w:rsidRPr="00DC44A6" w14:paraId="65404FE2" w14:textId="77777777" w:rsidTr="00EC0F91">
        <w:trPr>
          <w:trHeight w:val="399"/>
        </w:trPr>
        <w:tc>
          <w:tcPr>
            <w:tcW w:w="0" w:type="auto"/>
            <w:tcBorders>
              <w:top w:val="nil"/>
              <w:left w:val="nil"/>
              <w:bottom w:val="single" w:sz="4" w:space="0" w:color="auto"/>
              <w:right w:val="nil"/>
            </w:tcBorders>
            <w:shd w:val="clear" w:color="auto" w:fill="auto"/>
            <w:vAlign w:val="center"/>
            <w:hideMark/>
          </w:tcPr>
          <w:p w14:paraId="4B8D39E0"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 xml:space="preserve">　</w:t>
            </w:r>
          </w:p>
        </w:tc>
        <w:tc>
          <w:tcPr>
            <w:tcW w:w="0" w:type="auto"/>
            <w:tcBorders>
              <w:top w:val="nil"/>
              <w:left w:val="nil"/>
              <w:bottom w:val="single" w:sz="4" w:space="0" w:color="auto"/>
              <w:right w:val="nil"/>
            </w:tcBorders>
            <w:shd w:val="clear" w:color="auto" w:fill="auto"/>
            <w:vAlign w:val="center"/>
            <w:hideMark/>
          </w:tcPr>
          <w:p w14:paraId="03F21E6B"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HR (95% CI) P value</w:t>
            </w:r>
          </w:p>
        </w:tc>
        <w:tc>
          <w:tcPr>
            <w:tcW w:w="0" w:type="auto"/>
            <w:tcBorders>
              <w:top w:val="nil"/>
              <w:left w:val="nil"/>
              <w:bottom w:val="single" w:sz="4" w:space="0" w:color="auto"/>
              <w:right w:val="nil"/>
            </w:tcBorders>
            <w:shd w:val="clear" w:color="auto" w:fill="auto"/>
            <w:vAlign w:val="center"/>
            <w:hideMark/>
          </w:tcPr>
          <w:p w14:paraId="7A85B2C1"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HR (95% CI) P value</w:t>
            </w:r>
          </w:p>
        </w:tc>
        <w:tc>
          <w:tcPr>
            <w:tcW w:w="0" w:type="auto"/>
            <w:tcBorders>
              <w:top w:val="nil"/>
              <w:left w:val="nil"/>
              <w:bottom w:val="single" w:sz="4" w:space="0" w:color="auto"/>
              <w:right w:val="nil"/>
            </w:tcBorders>
            <w:shd w:val="clear" w:color="auto" w:fill="auto"/>
            <w:vAlign w:val="center"/>
            <w:hideMark/>
          </w:tcPr>
          <w:p w14:paraId="762785AE"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HR (95% CI) P value</w:t>
            </w:r>
          </w:p>
        </w:tc>
      </w:tr>
      <w:tr w:rsidR="00BC1E55" w:rsidRPr="00DC44A6" w14:paraId="16EFFE25" w14:textId="77777777" w:rsidTr="00EC0F91">
        <w:trPr>
          <w:trHeight w:val="399"/>
        </w:trPr>
        <w:tc>
          <w:tcPr>
            <w:tcW w:w="0" w:type="auto"/>
            <w:tcBorders>
              <w:top w:val="nil"/>
              <w:left w:val="nil"/>
              <w:bottom w:val="nil"/>
              <w:right w:val="nil"/>
            </w:tcBorders>
            <w:shd w:val="clear" w:color="auto" w:fill="auto"/>
            <w:vAlign w:val="center"/>
            <w:hideMark/>
          </w:tcPr>
          <w:p w14:paraId="6F456BB0"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Blood selenium (ug/L)</w:t>
            </w:r>
          </w:p>
        </w:tc>
        <w:tc>
          <w:tcPr>
            <w:tcW w:w="0" w:type="auto"/>
            <w:tcBorders>
              <w:top w:val="nil"/>
              <w:left w:val="nil"/>
              <w:bottom w:val="nil"/>
              <w:right w:val="nil"/>
            </w:tcBorders>
            <w:shd w:val="clear" w:color="auto" w:fill="auto"/>
            <w:vAlign w:val="center"/>
            <w:hideMark/>
          </w:tcPr>
          <w:p w14:paraId="55412FEE"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0.98 (0.95, 1.00) 0.0804</w:t>
            </w:r>
          </w:p>
        </w:tc>
        <w:tc>
          <w:tcPr>
            <w:tcW w:w="0" w:type="auto"/>
            <w:tcBorders>
              <w:top w:val="nil"/>
              <w:left w:val="nil"/>
              <w:bottom w:val="nil"/>
              <w:right w:val="nil"/>
            </w:tcBorders>
            <w:shd w:val="clear" w:color="auto" w:fill="auto"/>
            <w:vAlign w:val="center"/>
            <w:hideMark/>
          </w:tcPr>
          <w:p w14:paraId="40D89401"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0.98 (0.96, 1.00) 0.0850</w:t>
            </w:r>
          </w:p>
        </w:tc>
        <w:tc>
          <w:tcPr>
            <w:tcW w:w="0" w:type="auto"/>
            <w:tcBorders>
              <w:top w:val="nil"/>
              <w:left w:val="nil"/>
              <w:bottom w:val="nil"/>
              <w:right w:val="nil"/>
            </w:tcBorders>
            <w:shd w:val="clear" w:color="auto" w:fill="auto"/>
            <w:vAlign w:val="center"/>
            <w:hideMark/>
          </w:tcPr>
          <w:p w14:paraId="4FB2BC56"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0.99 (0.97, 1.01) 0.3146</w:t>
            </w:r>
          </w:p>
        </w:tc>
      </w:tr>
      <w:tr w:rsidR="00BC1E55" w:rsidRPr="00DC44A6" w14:paraId="1733A11C" w14:textId="77777777" w:rsidTr="00EC0F91">
        <w:trPr>
          <w:trHeight w:val="399"/>
        </w:trPr>
        <w:tc>
          <w:tcPr>
            <w:tcW w:w="0" w:type="auto"/>
            <w:tcBorders>
              <w:top w:val="nil"/>
              <w:left w:val="nil"/>
              <w:bottom w:val="nil"/>
              <w:right w:val="nil"/>
            </w:tcBorders>
            <w:shd w:val="clear" w:color="auto" w:fill="auto"/>
            <w:vAlign w:val="center"/>
            <w:hideMark/>
          </w:tcPr>
          <w:p w14:paraId="0FF58F30"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Blood lead (ug/dL)</w:t>
            </w:r>
          </w:p>
        </w:tc>
        <w:tc>
          <w:tcPr>
            <w:tcW w:w="0" w:type="auto"/>
            <w:tcBorders>
              <w:top w:val="nil"/>
              <w:left w:val="nil"/>
              <w:bottom w:val="nil"/>
              <w:right w:val="nil"/>
            </w:tcBorders>
            <w:shd w:val="clear" w:color="auto" w:fill="auto"/>
            <w:vAlign w:val="center"/>
            <w:hideMark/>
          </w:tcPr>
          <w:p w14:paraId="5A82CB53"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1.24 (1.08, 1.43) 0.0026</w:t>
            </w:r>
          </w:p>
        </w:tc>
        <w:tc>
          <w:tcPr>
            <w:tcW w:w="0" w:type="auto"/>
            <w:tcBorders>
              <w:top w:val="nil"/>
              <w:left w:val="nil"/>
              <w:bottom w:val="nil"/>
              <w:right w:val="nil"/>
            </w:tcBorders>
            <w:shd w:val="clear" w:color="auto" w:fill="auto"/>
            <w:vAlign w:val="center"/>
            <w:hideMark/>
          </w:tcPr>
          <w:p w14:paraId="66BF1368"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1.15 (0.86, 1.53) 0.3543</w:t>
            </w:r>
          </w:p>
        </w:tc>
        <w:tc>
          <w:tcPr>
            <w:tcW w:w="0" w:type="auto"/>
            <w:tcBorders>
              <w:top w:val="nil"/>
              <w:left w:val="nil"/>
              <w:bottom w:val="nil"/>
              <w:right w:val="nil"/>
            </w:tcBorders>
            <w:shd w:val="clear" w:color="auto" w:fill="auto"/>
            <w:vAlign w:val="center"/>
            <w:hideMark/>
          </w:tcPr>
          <w:p w14:paraId="4B5857F8"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1.19 (0.89, 1.58) 0.2424</w:t>
            </w:r>
          </w:p>
        </w:tc>
      </w:tr>
      <w:tr w:rsidR="00BC1E55" w:rsidRPr="00DC44A6" w14:paraId="29E5308E" w14:textId="77777777" w:rsidTr="00EC0F91">
        <w:trPr>
          <w:trHeight w:val="399"/>
        </w:trPr>
        <w:tc>
          <w:tcPr>
            <w:tcW w:w="0" w:type="auto"/>
            <w:tcBorders>
              <w:top w:val="nil"/>
              <w:left w:val="nil"/>
              <w:bottom w:val="nil"/>
              <w:right w:val="nil"/>
            </w:tcBorders>
            <w:shd w:val="clear" w:color="auto" w:fill="auto"/>
            <w:vAlign w:val="center"/>
            <w:hideMark/>
          </w:tcPr>
          <w:p w14:paraId="32B864BF"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Blood cadmium (ug/L)</w:t>
            </w:r>
          </w:p>
        </w:tc>
        <w:tc>
          <w:tcPr>
            <w:tcW w:w="0" w:type="auto"/>
            <w:tcBorders>
              <w:top w:val="nil"/>
              <w:left w:val="nil"/>
              <w:bottom w:val="nil"/>
              <w:right w:val="nil"/>
            </w:tcBorders>
            <w:shd w:val="clear" w:color="auto" w:fill="auto"/>
            <w:vAlign w:val="center"/>
            <w:hideMark/>
          </w:tcPr>
          <w:p w14:paraId="66FDC85A"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1.16 (0.68, 1.96) 0.5914</w:t>
            </w:r>
          </w:p>
        </w:tc>
        <w:tc>
          <w:tcPr>
            <w:tcW w:w="0" w:type="auto"/>
            <w:tcBorders>
              <w:top w:val="nil"/>
              <w:left w:val="nil"/>
              <w:bottom w:val="nil"/>
              <w:right w:val="nil"/>
            </w:tcBorders>
            <w:shd w:val="clear" w:color="auto" w:fill="auto"/>
            <w:vAlign w:val="center"/>
            <w:hideMark/>
          </w:tcPr>
          <w:p w14:paraId="30FC2426"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1.27 (0.73, 2.22) 0.4014</w:t>
            </w:r>
          </w:p>
        </w:tc>
        <w:tc>
          <w:tcPr>
            <w:tcW w:w="0" w:type="auto"/>
            <w:tcBorders>
              <w:top w:val="nil"/>
              <w:left w:val="nil"/>
              <w:bottom w:val="nil"/>
              <w:right w:val="nil"/>
            </w:tcBorders>
            <w:shd w:val="clear" w:color="auto" w:fill="auto"/>
            <w:vAlign w:val="center"/>
            <w:hideMark/>
          </w:tcPr>
          <w:p w14:paraId="54039E85"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1.06 (0.34, 3.30) 0.9250</w:t>
            </w:r>
          </w:p>
        </w:tc>
      </w:tr>
      <w:tr w:rsidR="00BC1E55" w:rsidRPr="00DC44A6" w14:paraId="08656D0C" w14:textId="77777777" w:rsidTr="00EC0F91">
        <w:trPr>
          <w:trHeight w:val="399"/>
        </w:trPr>
        <w:tc>
          <w:tcPr>
            <w:tcW w:w="0" w:type="auto"/>
            <w:tcBorders>
              <w:top w:val="nil"/>
              <w:left w:val="nil"/>
              <w:bottom w:val="nil"/>
              <w:right w:val="nil"/>
            </w:tcBorders>
            <w:shd w:val="clear" w:color="auto" w:fill="auto"/>
            <w:vAlign w:val="center"/>
            <w:hideMark/>
          </w:tcPr>
          <w:p w14:paraId="58848210"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Blood mercury (ug/L)</w:t>
            </w:r>
          </w:p>
        </w:tc>
        <w:tc>
          <w:tcPr>
            <w:tcW w:w="0" w:type="auto"/>
            <w:tcBorders>
              <w:top w:val="nil"/>
              <w:left w:val="nil"/>
              <w:bottom w:val="nil"/>
              <w:right w:val="nil"/>
            </w:tcBorders>
            <w:shd w:val="clear" w:color="auto" w:fill="auto"/>
            <w:vAlign w:val="center"/>
            <w:hideMark/>
          </w:tcPr>
          <w:p w14:paraId="6E7E8EC7"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0.71 (0.37, 1.37) 0.3107</w:t>
            </w:r>
          </w:p>
        </w:tc>
        <w:tc>
          <w:tcPr>
            <w:tcW w:w="0" w:type="auto"/>
            <w:tcBorders>
              <w:top w:val="nil"/>
              <w:left w:val="nil"/>
              <w:bottom w:val="nil"/>
              <w:right w:val="nil"/>
            </w:tcBorders>
            <w:shd w:val="clear" w:color="auto" w:fill="auto"/>
            <w:vAlign w:val="center"/>
            <w:hideMark/>
          </w:tcPr>
          <w:p w14:paraId="083868E0"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0.64 (0.32, 1.28) 0.2028</w:t>
            </w:r>
          </w:p>
        </w:tc>
        <w:tc>
          <w:tcPr>
            <w:tcW w:w="0" w:type="auto"/>
            <w:tcBorders>
              <w:top w:val="nil"/>
              <w:left w:val="nil"/>
              <w:bottom w:val="nil"/>
              <w:right w:val="nil"/>
            </w:tcBorders>
            <w:shd w:val="clear" w:color="auto" w:fill="auto"/>
            <w:vAlign w:val="center"/>
            <w:hideMark/>
          </w:tcPr>
          <w:p w14:paraId="771C0129"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0.84 (0.47, 1.48) 0.5389</w:t>
            </w:r>
          </w:p>
        </w:tc>
      </w:tr>
      <w:tr w:rsidR="00BC1E55" w:rsidRPr="00DC44A6" w14:paraId="09E0002E" w14:textId="77777777" w:rsidTr="00EC0F91">
        <w:trPr>
          <w:trHeight w:val="399"/>
        </w:trPr>
        <w:tc>
          <w:tcPr>
            <w:tcW w:w="0" w:type="auto"/>
            <w:tcBorders>
              <w:top w:val="nil"/>
              <w:left w:val="nil"/>
              <w:bottom w:val="single" w:sz="4" w:space="0" w:color="auto"/>
              <w:right w:val="nil"/>
            </w:tcBorders>
            <w:shd w:val="clear" w:color="auto" w:fill="auto"/>
            <w:vAlign w:val="center"/>
            <w:hideMark/>
          </w:tcPr>
          <w:p w14:paraId="36150F3F"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Blood manganese (ug/L)</w:t>
            </w:r>
          </w:p>
        </w:tc>
        <w:tc>
          <w:tcPr>
            <w:tcW w:w="0" w:type="auto"/>
            <w:tcBorders>
              <w:top w:val="nil"/>
              <w:left w:val="nil"/>
              <w:bottom w:val="single" w:sz="4" w:space="0" w:color="auto"/>
              <w:right w:val="nil"/>
            </w:tcBorders>
            <w:shd w:val="clear" w:color="auto" w:fill="auto"/>
            <w:vAlign w:val="center"/>
            <w:hideMark/>
          </w:tcPr>
          <w:p w14:paraId="60F6ABF7"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0.83 (0.67, 1.03) 0.0849</w:t>
            </w:r>
          </w:p>
        </w:tc>
        <w:tc>
          <w:tcPr>
            <w:tcW w:w="0" w:type="auto"/>
            <w:tcBorders>
              <w:top w:val="nil"/>
              <w:left w:val="nil"/>
              <w:bottom w:val="single" w:sz="4" w:space="0" w:color="auto"/>
              <w:right w:val="nil"/>
            </w:tcBorders>
            <w:shd w:val="clear" w:color="auto" w:fill="auto"/>
            <w:vAlign w:val="center"/>
            <w:hideMark/>
          </w:tcPr>
          <w:p w14:paraId="723018E4"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0.91 (0.74, 1.12) 0.3878</w:t>
            </w:r>
          </w:p>
        </w:tc>
        <w:tc>
          <w:tcPr>
            <w:tcW w:w="0" w:type="auto"/>
            <w:tcBorders>
              <w:top w:val="nil"/>
              <w:left w:val="nil"/>
              <w:bottom w:val="single" w:sz="4" w:space="0" w:color="auto"/>
              <w:right w:val="nil"/>
            </w:tcBorders>
            <w:shd w:val="clear" w:color="auto" w:fill="auto"/>
            <w:vAlign w:val="center"/>
            <w:hideMark/>
          </w:tcPr>
          <w:p w14:paraId="3A37CDD4"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0.96 (0.79, 1.18) 0.7120</w:t>
            </w:r>
          </w:p>
        </w:tc>
      </w:tr>
      <w:tr w:rsidR="00EC0F91" w:rsidRPr="00BC1E55" w14:paraId="7CDE415F" w14:textId="77777777" w:rsidTr="00EC0F91">
        <w:trPr>
          <w:trHeight w:val="792"/>
        </w:trPr>
        <w:tc>
          <w:tcPr>
            <w:tcW w:w="0" w:type="auto"/>
            <w:gridSpan w:val="4"/>
            <w:tcBorders>
              <w:top w:val="nil"/>
              <w:left w:val="nil"/>
              <w:bottom w:val="nil"/>
              <w:right w:val="nil"/>
            </w:tcBorders>
            <w:shd w:val="clear" w:color="auto" w:fill="auto"/>
            <w:vAlign w:val="center"/>
            <w:hideMark/>
          </w:tcPr>
          <w:p w14:paraId="7173A718" w14:textId="77777777" w:rsidR="00EC0F91" w:rsidRPr="00DC44A6" w:rsidRDefault="00EC0F91" w:rsidP="00EC0F91">
            <w:pPr>
              <w:widowControl/>
              <w:spacing w:line="480" w:lineRule="auto"/>
              <w:jc w:val="left"/>
              <w:rPr>
                <w:rFonts w:ascii="Times New Roman" w:eastAsia="SimSun" w:hAnsi="Times New Roman" w:cs="Times New Roman"/>
                <w:kern w:val="0"/>
                <w:sz w:val="18"/>
                <w:szCs w:val="18"/>
                <w14:ligatures w14:val="none"/>
              </w:rPr>
            </w:pPr>
            <w:r w:rsidRPr="00DC44A6">
              <w:rPr>
                <w:rFonts w:ascii="Times New Roman" w:eastAsia="SimSun" w:hAnsi="Times New Roman" w:cs="Times New Roman"/>
                <w:kern w:val="0"/>
                <w:sz w:val="18"/>
                <w:szCs w:val="18"/>
                <w14:ligatures w14:val="none"/>
              </w:rPr>
              <w:t>Note: Model 1 adjusted none. Model 2 adjusted sex, age, and race. Model 3 adjusted sex, age, race, educational level, marital state, PIR, BMI, smoking state, alcohol intake, hypertension history, diabetes history, CVD history, COPD history, malignancy history, serum cotinine, AST, ALT, serum creatinine, and urine creatinine.</w:t>
            </w:r>
            <w:bookmarkStart w:id="0" w:name="_GoBack"/>
            <w:bookmarkEnd w:id="0"/>
          </w:p>
        </w:tc>
      </w:tr>
    </w:tbl>
    <w:p w14:paraId="59B79572" w14:textId="77777777" w:rsidR="005D3D99" w:rsidRPr="00BC1E55" w:rsidRDefault="005D3D99"/>
    <w:sectPr w:rsidR="005D3D99" w:rsidRPr="00BC1E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263B2" w14:textId="77777777" w:rsidR="002C7D6C" w:rsidRDefault="002C7D6C" w:rsidP="00EC0F91">
      <w:r>
        <w:separator/>
      </w:r>
    </w:p>
  </w:endnote>
  <w:endnote w:type="continuationSeparator" w:id="0">
    <w:p w14:paraId="5AE8810D" w14:textId="77777777" w:rsidR="002C7D6C" w:rsidRDefault="002C7D6C" w:rsidP="00EC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A2067" w14:textId="77777777" w:rsidR="002C7D6C" w:rsidRDefault="002C7D6C" w:rsidP="00EC0F91">
      <w:r>
        <w:separator/>
      </w:r>
    </w:p>
  </w:footnote>
  <w:footnote w:type="continuationSeparator" w:id="0">
    <w:p w14:paraId="212CAB93" w14:textId="77777777" w:rsidR="002C7D6C" w:rsidRDefault="002C7D6C" w:rsidP="00EC0F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99"/>
    <w:rsid w:val="002559DD"/>
    <w:rsid w:val="002C7D6C"/>
    <w:rsid w:val="004A0042"/>
    <w:rsid w:val="005D3D99"/>
    <w:rsid w:val="006773A5"/>
    <w:rsid w:val="007C3DBE"/>
    <w:rsid w:val="007F563A"/>
    <w:rsid w:val="00BC1E55"/>
    <w:rsid w:val="00DC44A6"/>
    <w:rsid w:val="00EC0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5DD5A25-512B-4417-8AE5-33F387A7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F9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C0F91"/>
    <w:rPr>
      <w:sz w:val="18"/>
      <w:szCs w:val="18"/>
    </w:rPr>
  </w:style>
  <w:style w:type="paragraph" w:styleId="Footer">
    <w:name w:val="footer"/>
    <w:basedOn w:val="Normal"/>
    <w:link w:val="FooterChar"/>
    <w:uiPriority w:val="99"/>
    <w:unhideWhenUsed/>
    <w:rsid w:val="00EC0F9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C0F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88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Wen</dc:creator>
  <cp:keywords/>
  <dc:description/>
  <cp:lastModifiedBy>Akila  Alagesan</cp:lastModifiedBy>
  <cp:revision>5</cp:revision>
  <dcterms:created xsi:type="dcterms:W3CDTF">2024-07-10T16:40:00Z</dcterms:created>
  <dcterms:modified xsi:type="dcterms:W3CDTF">2024-08-14T08:28:00Z</dcterms:modified>
</cp:coreProperties>
</file>