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634" w:rsidRDefault="001C185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Table 2. Disease-causing </w:t>
      </w:r>
      <w:r>
        <w:rPr>
          <w:rFonts w:ascii="Arial" w:hAnsi="Arial" w:cs="Arial"/>
          <w:b/>
          <w:bCs/>
          <w:i/>
          <w:iCs/>
        </w:rPr>
        <w:t>ESRRB</w:t>
      </w:r>
      <w:r>
        <w:rPr>
          <w:rFonts w:ascii="Arial" w:hAnsi="Arial" w:cs="Arial"/>
          <w:b/>
          <w:bCs/>
        </w:rPr>
        <w:t xml:space="preserve"> variants and its pathogenicity according to ACMG-AMP guideline for hearing loss  </w:t>
      </w:r>
    </w:p>
    <w:tbl>
      <w:tblPr>
        <w:tblW w:w="1357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762"/>
        <w:gridCol w:w="1037"/>
        <w:gridCol w:w="1030"/>
        <w:gridCol w:w="148"/>
        <w:gridCol w:w="1080"/>
        <w:gridCol w:w="747"/>
        <w:gridCol w:w="231"/>
        <w:gridCol w:w="635"/>
        <w:gridCol w:w="982"/>
        <w:gridCol w:w="738"/>
        <w:gridCol w:w="1143"/>
        <w:gridCol w:w="1030"/>
        <w:gridCol w:w="1299"/>
        <w:gridCol w:w="1016"/>
      </w:tblGrid>
      <w:tr w:rsidR="005C7634" w:rsidTr="00F42FDE">
        <w:trPr>
          <w:trHeight w:val="307"/>
        </w:trPr>
        <w:tc>
          <w:tcPr>
            <w:tcW w:w="1701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Genomic Position</w:t>
            </w: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(GRCh37/hg19)</w:t>
            </w:r>
          </w:p>
        </w:tc>
        <w:tc>
          <w:tcPr>
            <w:tcW w:w="179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HGVS</w:t>
            </w:r>
          </w:p>
        </w:tc>
        <w:tc>
          <w:tcPr>
            <w:tcW w:w="103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Zygosity </w:t>
            </w:r>
          </w:p>
        </w:tc>
        <w:tc>
          <w:tcPr>
            <w:tcW w:w="1228" w:type="dxa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Location</w:t>
            </w: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(Exon/Domain)</w:t>
            </w:r>
          </w:p>
        </w:tc>
        <w:tc>
          <w:tcPr>
            <w:tcW w:w="2595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In silico Predictions</w:t>
            </w:r>
          </w:p>
        </w:tc>
        <w:tc>
          <w:tcPr>
            <w:tcW w:w="188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Allele Frequency</w:t>
            </w:r>
          </w:p>
        </w:tc>
        <w:tc>
          <w:tcPr>
            <w:tcW w:w="10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C7634" w:rsidRDefault="005C763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ACMG-AMP 2018 </w:t>
            </w:r>
          </w:p>
        </w:tc>
        <w:tc>
          <w:tcPr>
            <w:tcW w:w="1016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Reference</w:t>
            </w:r>
          </w:p>
        </w:tc>
      </w:tr>
      <w:tr w:rsidR="005C7634" w:rsidTr="00F42FDE">
        <w:trPr>
          <w:trHeight w:val="1133"/>
        </w:trPr>
        <w:tc>
          <w:tcPr>
            <w:tcW w:w="1701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5C7634" w:rsidRDefault="005C763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Nucleotide</w:t>
            </w: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change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Amino Acid</w:t>
            </w: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change</w:t>
            </w:r>
          </w:p>
        </w:tc>
        <w:tc>
          <w:tcPr>
            <w:tcW w:w="103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5C7634" w:rsidRDefault="005C763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5C7634" w:rsidRDefault="005C763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CADD Phred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REVEL</w:t>
            </w:r>
          </w:p>
        </w:tc>
        <w:tc>
          <w:tcPr>
            <w:tcW w:w="982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Splice AI /</w:t>
            </w: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MAXENT Score</w:t>
            </w:r>
          </w:p>
        </w:tc>
        <w:tc>
          <w:tcPr>
            <w:tcW w:w="73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KRGDB/</w:t>
            </w:r>
          </w:p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KOVA2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gnomAD</w:t>
            </w: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 v.2.1.1</w:t>
            </w:r>
          </w:p>
          <w:p w:rsidR="005C7634" w:rsidRDefault="005C763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Overall (%)</w:t>
            </w:r>
          </w:p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/ East Asian (%)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gnomAD</w:t>
            </w:r>
          </w:p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v.4.1.0</w:t>
            </w:r>
          </w:p>
          <w:p w:rsidR="005C7634" w:rsidRDefault="005C763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Overall (%)</w:t>
            </w:r>
          </w:p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/East Asian (%)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C7634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Classification</w:t>
            </w:r>
          </w:p>
        </w:tc>
        <w:tc>
          <w:tcPr>
            <w:tcW w:w="10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5C7634" w:rsidRDefault="005C763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5C7634" w:rsidRPr="00B24A63" w:rsidTr="00F42FDE">
        <w:trPr>
          <w:trHeight w:val="630"/>
        </w:trPr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chr14: g.76958020_76958026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c.1018_1024dup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p.Val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342fs Ter44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exon 8 / LBD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NA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NA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DG(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 xml:space="preserve">0.09) </w:t>
            </w:r>
          </w:p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/ 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0</w:t>
            </w: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.</w:t>
            </w: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0004866</w:t>
            </w: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 xml:space="preserve"> / 0.0</w:t>
            </w:r>
          </w:p>
        </w:tc>
        <w:tc>
          <w:tcPr>
            <w:tcW w:w="10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0.000063 / 0.0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  <w:t>Pathogenic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Collin et al. (2008)</w:t>
            </w:r>
          </w:p>
        </w:tc>
      </w:tr>
      <w:tr w:rsidR="005C7634" w:rsidRPr="00B24A63" w:rsidTr="00F42FDE">
        <w:trPr>
          <w:trHeight w:val="64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chr14: g.76958026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c.1024G&gt;T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p.Val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342Leu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exon 8 / LBD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22.5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0.783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DG(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 xml:space="preserve">0.01) </w:t>
            </w:r>
          </w:p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/ 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0.0004931</w:t>
            </w:r>
          </w:p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/ 0.0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0.0001261</w:t>
            </w:r>
          </w:p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/ 0.0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  <w:t>Pathogenic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Collin et al. (2008)</w:t>
            </w:r>
          </w:p>
        </w:tc>
        <w:bookmarkStart w:id="0" w:name="_GoBack"/>
        <w:bookmarkEnd w:id="0"/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chr14: g.76957961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c.959T&gt;C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p.Leu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320Pro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exon 8 / LBD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31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0.984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(0.00) / 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ND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  <w:t>Likely Pathogenic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Collin et al. (2008)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chr14: g.76958042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c.1040C&gt;T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p.Leu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347Pro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exon 8 / LBD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31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0.775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DL(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0.01) / 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ND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  <w:t>Likely</w:t>
            </w:r>
          </w:p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  <w:t>Pathogenic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Collin et al. (2008)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chr14: g.76906025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c.329C&gt;T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p.Ala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110Val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exon 4 / DBD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27.6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0.958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(0.00) / 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ND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  <w:t>Pathogenic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Collin et al. (2008)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chr</w:t>
            </w:r>
            <w:proofErr w:type="gramStart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14:g.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76948389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c.545G&gt;A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p.Arg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182His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exon 6 / DBD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32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0.724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(0.00) / 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Pathogenic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NA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212121"/>
                <w:sz w:val="14"/>
                <w:szCs w:val="16"/>
              </w:rPr>
              <w:t>chr</w:t>
            </w:r>
            <w:proofErr w:type="gramStart"/>
            <w:r w:rsidRPr="00B24A63">
              <w:rPr>
                <w:rFonts w:ascii="Arial" w:eastAsia="맑은 고딕" w:hAnsi="Arial" w:cs="Arial"/>
                <w:color w:val="212121"/>
                <w:sz w:val="14"/>
                <w:szCs w:val="16"/>
              </w:rPr>
              <w:t>14:g.</w:t>
            </w:r>
            <w:proofErr w:type="gramEnd"/>
            <w:r w:rsidRPr="00B24A63">
              <w:rPr>
                <w:rFonts w:ascii="Arial" w:eastAsia="맑은 고딕" w:hAnsi="Arial" w:cs="Arial"/>
                <w:color w:val="212121"/>
                <w:sz w:val="14"/>
                <w:szCs w:val="16"/>
              </w:rPr>
              <w:t>76949102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c.787G&gt;A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p.Gly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263Ser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exon 7 / LBD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34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0.943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proofErr w:type="gramStart"/>
            <w:r w:rsidRPr="00B24A63">
              <w:rPr>
                <w:rFonts w:ascii="Arial" w:eastAsia="맑은 고딕" w:hAnsi="Arial" w:cs="Arial"/>
                <w:sz w:val="14"/>
                <w:szCs w:val="16"/>
              </w:rPr>
              <w:t>AL(</w:t>
            </w:r>
            <w:proofErr w:type="gramEnd"/>
            <w:r w:rsidRPr="00B24A63">
              <w:rPr>
                <w:rFonts w:ascii="Arial" w:eastAsia="맑은 고딕" w:hAnsi="Arial" w:cs="Arial"/>
                <w:sz w:val="14"/>
                <w:szCs w:val="16"/>
              </w:rPr>
              <w:t xml:space="preserve">0.05) DG(0.02) </w:t>
            </w:r>
            <w:r w:rsidRPr="00B24A63">
              <w:rPr>
                <w:rFonts w:ascii="Arial" w:eastAsia="맑은 고딕" w:hAnsi="Arial" w:cs="Arial"/>
                <w:sz w:val="14"/>
                <w:szCs w:val="16"/>
              </w:rPr>
              <w:t>DL(0.05)</w:t>
            </w:r>
            <w:r w:rsidRPr="00B24A63">
              <w:rPr>
                <w:rFonts w:ascii="Arial" w:eastAsia="맑은 고딕" w:hAnsi="Arial" w:cs="Arial"/>
                <w:sz w:val="14"/>
                <w:szCs w:val="16"/>
              </w:rPr>
              <w:br/>
              <w:t xml:space="preserve"> / 5'ss(6.39)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Pathogenic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NA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chr</w:t>
            </w: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14:g.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76957915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c.913T&gt;C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p.Tyr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305His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exon 5 / DBD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29.6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0.903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(0.00) / 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Pathogenic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Ben said et al. (2011)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chr</w:t>
            </w: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14:g.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76958020_76958022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c.1018_1020 del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p.Glu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340del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exon 8 / LBD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NA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proofErr w:type="gramStart"/>
            <w:r w:rsidRPr="00B24A63">
              <w:rPr>
                <w:rFonts w:ascii="Arial" w:eastAsia="맑은 고딕" w:hAnsi="Arial" w:cs="Arial"/>
                <w:sz w:val="14"/>
                <w:szCs w:val="16"/>
              </w:rPr>
              <w:t>DG(</w:t>
            </w:r>
            <w:proofErr w:type="gramEnd"/>
            <w:r w:rsidRPr="00B24A63">
              <w:rPr>
                <w:rFonts w:ascii="Arial" w:eastAsia="맑은 고딕" w:hAnsi="Arial" w:cs="Arial"/>
                <w:sz w:val="14"/>
                <w:szCs w:val="16"/>
              </w:rPr>
              <w:t>0.04) / 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Pathogenic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Lee et al. (2011)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chr</w:t>
            </w:r>
            <w:proofErr w:type="gramStart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14:g.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76957874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c.872G&gt;T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p.Arg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  <w:t>291Leu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exon 5 / DBD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31.0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0.595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(0.00) / 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Pathogenic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333333"/>
                <w:sz w:val="14"/>
                <w:szCs w:val="16"/>
              </w:rPr>
              <w:t>Brožková DŠ et al. (2012)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chr</w:t>
            </w: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14:g.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76905712 (hg19)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c.16A&gt;G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p.Arg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6Gly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color w:val="00000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 xml:space="preserve">homozygous </w:t>
            </w:r>
          </w:p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color w:val="00000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/ comp.</w:t>
            </w:r>
          </w:p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 xml:space="preserve"> heterozygous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exon 4 / NA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23.7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0.758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(0.00) / 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 xml:space="preserve">0.3171 / 4.163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0.1306 / 4.197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 xml:space="preserve">Tepid VUS 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br/>
              <w:t>(PM3, PP3)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Wu et al. (2015)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lastRenderedPageBreak/>
              <w:t>chr</w:t>
            </w: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14:g.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76906018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c.322G&gt;T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222222"/>
                <w:sz w:val="14"/>
                <w:szCs w:val="15"/>
              </w:rPr>
              <w:t>p.Asp</w:t>
            </w:r>
            <w:proofErr w:type="gramEnd"/>
            <w:r w:rsidRPr="00B24A63">
              <w:rPr>
                <w:rFonts w:ascii="Arial" w:eastAsia="맑은 고딕" w:hAnsi="Arial" w:cs="Arial"/>
                <w:color w:val="222222"/>
                <w:sz w:val="14"/>
                <w:szCs w:val="15"/>
              </w:rPr>
              <w:t>108Tyr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exon 4 / DBD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31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0.972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proofErr w:type="gramStart"/>
            <w:r w:rsidRPr="00B24A63">
              <w:rPr>
                <w:rFonts w:ascii="Arial" w:eastAsia="맑은 고딕" w:hAnsi="Arial" w:cs="Arial"/>
                <w:sz w:val="14"/>
                <w:szCs w:val="16"/>
              </w:rPr>
              <w:t>DG(</w:t>
            </w:r>
            <w:proofErr w:type="gramEnd"/>
            <w:r w:rsidRPr="00B24A63">
              <w:rPr>
                <w:rFonts w:ascii="Arial" w:eastAsia="맑은 고딕" w:hAnsi="Arial" w:cs="Arial"/>
                <w:sz w:val="14"/>
                <w:szCs w:val="16"/>
              </w:rPr>
              <w:t xml:space="preserve">0.01) / </w:t>
            </w:r>
            <w:r w:rsidRPr="00B24A63">
              <w:rPr>
                <w:rFonts w:ascii="Arial" w:eastAsia="맑은 고딕" w:hAnsi="Arial" w:cs="Arial"/>
                <w:sz w:val="14"/>
                <w:szCs w:val="16"/>
              </w:rPr>
              <w:br/>
              <w:t>5'ss(4.13)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Hot VUS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  <w:vertAlign w:val="superscript"/>
              </w:rPr>
              <w:t>a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br/>
              <w:t xml:space="preserve">(PM2, PM3_ 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Supporting, PP3)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 xml:space="preserve"> Noman et al. (2019)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chr</w:t>
            </w: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14:g.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76948365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c.521G&gt;A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p.Arg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174His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exon 6 / DBD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26.3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0.602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(0.00) / 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0.0007955 / 0.0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0.0006841 / 0.0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Tepid VUS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  <w:vertAlign w:val="superscript"/>
              </w:rPr>
              <w:t>a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 xml:space="preserve"> 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br/>
              <w:t>(PM2, PM3_ Supporting)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Khan et al. (2019)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chr</w:t>
            </w: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14:g.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76949103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c.787+1G&gt;A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p. ?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 xml:space="preserve">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 xml:space="preserve">intron 7 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35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proofErr w:type="gramStart"/>
            <w:r w:rsidRPr="00B24A63">
              <w:rPr>
                <w:rFonts w:ascii="Arial" w:eastAsia="맑은 고딕" w:hAnsi="Arial" w:cs="Arial"/>
                <w:sz w:val="14"/>
                <w:szCs w:val="16"/>
              </w:rPr>
              <w:t>AL(</w:t>
            </w:r>
            <w:proofErr w:type="gramEnd"/>
            <w:r w:rsidRPr="00B24A63">
              <w:rPr>
                <w:rFonts w:ascii="Arial" w:eastAsia="맑은 고딕" w:hAnsi="Arial" w:cs="Arial"/>
                <w:sz w:val="14"/>
                <w:szCs w:val="16"/>
              </w:rPr>
              <w:t xml:space="preserve">0.26) </w:t>
            </w:r>
            <w:r w:rsidRPr="00B24A63">
              <w:rPr>
                <w:rFonts w:ascii="Arial" w:eastAsia="맑은 고딕" w:hAnsi="Arial" w:cs="Arial"/>
                <w:sz w:val="14"/>
                <w:szCs w:val="16"/>
              </w:rPr>
              <w:br/>
              <w:t>DG(0.12)</w:t>
            </w:r>
            <w:r w:rsidRPr="00B24A63">
              <w:rPr>
                <w:rFonts w:ascii="Arial" w:eastAsia="맑은 고딕" w:hAnsi="Arial" w:cs="Arial"/>
                <w:sz w:val="14"/>
                <w:szCs w:val="16"/>
              </w:rPr>
              <w:br/>
              <w:t xml:space="preserve">DL(1.00) </w:t>
            </w:r>
            <w:r w:rsidRPr="00B24A63">
              <w:rPr>
                <w:rFonts w:ascii="Arial" w:eastAsia="맑은 고딕" w:hAnsi="Arial" w:cs="Arial"/>
                <w:sz w:val="14"/>
                <w:szCs w:val="16"/>
              </w:rPr>
              <w:br/>
              <w:t>/ 5'ss(1.42)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Pathogenic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 xml:space="preserve"> Park et al. (2020)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chr</w:t>
            </w: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14:g.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76949048 (hg19)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222222"/>
                <w:sz w:val="14"/>
                <w:szCs w:val="15"/>
              </w:rPr>
              <w:t>c.733G &gt; C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222222"/>
                <w:sz w:val="14"/>
                <w:szCs w:val="15"/>
              </w:rPr>
              <w:t>p.Asp</w:t>
            </w:r>
            <w:proofErr w:type="gramEnd"/>
            <w:r w:rsidRPr="00B24A63">
              <w:rPr>
                <w:rFonts w:ascii="Arial" w:eastAsia="맑은 고딕" w:hAnsi="Arial" w:cs="Arial"/>
                <w:color w:val="222222"/>
                <w:sz w:val="14"/>
                <w:szCs w:val="15"/>
              </w:rPr>
              <w:t>245His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exon 7 / LBD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29.3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0.898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proofErr w:type="gramStart"/>
            <w:r w:rsidRPr="00B24A63">
              <w:rPr>
                <w:rFonts w:ascii="Arial" w:eastAsia="맑은 고딕" w:hAnsi="Arial" w:cs="Arial"/>
                <w:sz w:val="14"/>
                <w:szCs w:val="16"/>
              </w:rPr>
              <w:t>AG(</w:t>
            </w:r>
            <w:proofErr w:type="gramEnd"/>
            <w:r w:rsidRPr="00B24A63">
              <w:rPr>
                <w:rFonts w:ascii="Arial" w:eastAsia="맑은 고딕" w:hAnsi="Arial" w:cs="Arial"/>
                <w:sz w:val="14"/>
                <w:szCs w:val="16"/>
              </w:rPr>
              <w:t>0.01) / 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Pathogenic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Ramzan et al. (2020)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chr</w:t>
            </w: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14:g.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76964554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 xml:space="preserve">c.1058-3 C&gt;A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p.Asp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353GlyfsTer6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 xml:space="preserve">intron 8 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22.4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proofErr w:type="gramStart"/>
            <w:r w:rsidRPr="00B24A63">
              <w:rPr>
                <w:rFonts w:ascii="Arial" w:eastAsia="맑은 고딕" w:hAnsi="Arial" w:cs="Arial"/>
                <w:sz w:val="14"/>
                <w:szCs w:val="16"/>
              </w:rPr>
              <w:t>AG(</w:t>
            </w:r>
            <w:proofErr w:type="gramEnd"/>
            <w:r w:rsidRPr="00B24A63">
              <w:rPr>
                <w:rFonts w:ascii="Arial" w:eastAsia="맑은 고딕" w:hAnsi="Arial" w:cs="Arial"/>
                <w:sz w:val="14"/>
                <w:szCs w:val="16"/>
              </w:rPr>
              <w:t>0.04)</w:t>
            </w:r>
            <w:r w:rsidRPr="00B24A63">
              <w:rPr>
                <w:rFonts w:ascii="Arial" w:eastAsia="맑은 고딕" w:hAnsi="Arial" w:cs="Arial"/>
                <w:sz w:val="14"/>
                <w:szCs w:val="16"/>
              </w:rPr>
              <w:br/>
              <w:t>AL(0.37)</w:t>
            </w:r>
            <w:r w:rsidRPr="00B24A63">
              <w:rPr>
                <w:rFonts w:ascii="Arial" w:eastAsia="맑은 고딕" w:hAnsi="Arial" w:cs="Arial"/>
                <w:sz w:val="14"/>
                <w:szCs w:val="16"/>
              </w:rPr>
              <w:br/>
              <w:t>DG(0.01)</w:t>
            </w:r>
            <w:r w:rsidRPr="00B24A63">
              <w:rPr>
                <w:rFonts w:ascii="Arial" w:eastAsia="맑은 고딕" w:hAnsi="Arial" w:cs="Arial"/>
                <w:sz w:val="14"/>
                <w:szCs w:val="16"/>
              </w:rPr>
              <w:br/>
              <w:t>/ 3'ss(5.60)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Pathogenic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Chouchen et al. (2020)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chr</w:t>
            </w: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14:g.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76948380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c.536G&gt;A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p.Arg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179His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exon 6 / DBD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32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0.523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 xml:space="preserve">(0.00) / </w:t>
            </w:r>
            <w:r w:rsidRPr="00B24A63">
              <w:rPr>
                <w:rFonts w:ascii="Arial" w:eastAsia="맑은 고딕" w:hAnsi="Arial" w:cs="Arial"/>
                <w:sz w:val="14"/>
                <w:szCs w:val="16"/>
              </w:rPr>
              <w:br/>
              <w:t>5'</w:t>
            </w:r>
            <w:proofErr w:type="gramStart"/>
            <w:r w:rsidRPr="00B24A63">
              <w:rPr>
                <w:rFonts w:ascii="Arial" w:eastAsia="맑은 고딕" w:hAnsi="Arial" w:cs="Arial"/>
                <w:sz w:val="14"/>
                <w:szCs w:val="16"/>
              </w:rPr>
              <w:t>ss(</w:t>
            </w:r>
            <w:proofErr w:type="gramEnd"/>
            <w:r w:rsidRPr="00B24A63">
              <w:rPr>
                <w:rFonts w:ascii="Arial" w:eastAsia="맑은 고딕" w:hAnsi="Arial" w:cs="Arial"/>
                <w:sz w:val="14"/>
                <w:szCs w:val="16"/>
              </w:rPr>
              <w:t>-5.86)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0.001591 / 0.0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0.001301 / 0.0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Likely Pathogenic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 xml:space="preserve"> Dianatpour et al. (2021)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chr</w:t>
            </w: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14:g.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76948403 (hg19)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 xml:space="preserve">c.559C&gt;T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p.Arg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187Ter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homozygous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exon 6 / DBD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37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proofErr w:type="gramStart"/>
            <w:r w:rsidRPr="00B24A63">
              <w:rPr>
                <w:rFonts w:ascii="Arial" w:eastAsia="맑은 고딕" w:hAnsi="Arial" w:cs="Arial"/>
                <w:sz w:val="14"/>
                <w:szCs w:val="16"/>
              </w:rPr>
              <w:t>AL(</w:t>
            </w:r>
            <w:proofErr w:type="gramEnd"/>
            <w:r w:rsidRPr="00B24A63">
              <w:rPr>
                <w:rFonts w:ascii="Arial" w:eastAsia="맑은 고딕" w:hAnsi="Arial" w:cs="Arial"/>
                <w:sz w:val="14"/>
                <w:szCs w:val="16"/>
              </w:rPr>
              <w:t>0.01)</w:t>
            </w:r>
            <w:r w:rsidRPr="00B24A63">
              <w:rPr>
                <w:rFonts w:ascii="Arial" w:eastAsia="맑은 고딕" w:hAnsi="Arial" w:cs="Arial"/>
                <w:sz w:val="14"/>
                <w:szCs w:val="16"/>
              </w:rPr>
              <w:br/>
              <w:t>DL(0.01)</w:t>
            </w:r>
            <w:r w:rsidRPr="00B24A63">
              <w:rPr>
                <w:rFonts w:ascii="Arial" w:eastAsia="맑은 고딕" w:hAnsi="Arial" w:cs="Arial"/>
                <w:sz w:val="14"/>
                <w:szCs w:val="16"/>
              </w:rPr>
              <w:br/>
              <w:t>/ 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0.0003977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 xml:space="preserve"> / 0.0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0.0002478 / 0.0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Pathogenic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Elbagoury et al. (2022)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chr</w:t>
            </w: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14:g.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76906095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c.397+2T&gt;G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p. ?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 xml:space="preserve">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 xml:space="preserve">comp. </w:t>
            </w:r>
          </w:p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heterozygous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intron 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34.0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proofErr w:type="gramStart"/>
            <w:r w:rsidRPr="00B24A63">
              <w:rPr>
                <w:rFonts w:ascii="Arial" w:eastAsia="맑은 고딕" w:hAnsi="Arial" w:cs="Arial"/>
                <w:sz w:val="14"/>
                <w:szCs w:val="16"/>
              </w:rPr>
              <w:t>AL(</w:t>
            </w:r>
            <w:proofErr w:type="gramEnd"/>
            <w:r w:rsidRPr="00B24A63">
              <w:rPr>
                <w:rFonts w:ascii="Arial" w:eastAsia="맑은 고딕" w:hAnsi="Arial" w:cs="Arial"/>
                <w:sz w:val="14"/>
                <w:szCs w:val="16"/>
              </w:rPr>
              <w:t>0.08)</w:t>
            </w:r>
            <w:r w:rsidRPr="00B24A63">
              <w:rPr>
                <w:rFonts w:ascii="Arial" w:eastAsia="맑은 고딕" w:hAnsi="Arial" w:cs="Arial"/>
                <w:sz w:val="14"/>
                <w:szCs w:val="16"/>
              </w:rPr>
              <w:br/>
              <w:t>DG(0.11)</w:t>
            </w:r>
            <w:r w:rsidRPr="00B24A63">
              <w:rPr>
                <w:rFonts w:ascii="Arial" w:eastAsia="맑은 고딕" w:hAnsi="Arial" w:cs="Arial"/>
                <w:sz w:val="14"/>
                <w:szCs w:val="16"/>
              </w:rPr>
              <w:br/>
              <w:t>DL(1.00)</w:t>
            </w:r>
            <w:r w:rsidRPr="00B24A63">
              <w:rPr>
                <w:rFonts w:ascii="Arial" w:eastAsia="맑은 고딕" w:hAnsi="Arial" w:cs="Arial"/>
                <w:sz w:val="14"/>
                <w:szCs w:val="16"/>
              </w:rPr>
              <w:br/>
              <w:t xml:space="preserve"> / 5'ss(1.84)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 xml:space="preserve"> Pathogenic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br/>
              <w:t>(PVS1, PM2, PS3_</w:t>
            </w: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Supporting,PM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3, PP3)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 xml:space="preserve">This study </w:t>
            </w:r>
          </w:p>
        </w:tc>
      </w:tr>
      <w:tr w:rsidR="005C7634" w:rsidRPr="00B24A63" w:rsidTr="00F42FDE">
        <w:trPr>
          <w:trHeight w:val="616"/>
        </w:trPr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chr</w:t>
            </w: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14:g.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76964643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5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c.1144C&gt;T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5"/>
              </w:rPr>
            </w:pPr>
            <w:proofErr w:type="gramStart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p.Arg</w:t>
            </w:r>
            <w:proofErr w:type="gramEnd"/>
            <w:r w:rsidRPr="00B24A63">
              <w:rPr>
                <w:rFonts w:ascii="Arial" w:eastAsia="맑은 고딕" w:hAnsi="Arial" w:cs="Arial"/>
                <w:color w:val="000000"/>
                <w:sz w:val="14"/>
                <w:szCs w:val="15"/>
              </w:rPr>
              <w:t>382Cys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comp. heterozygous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>exon 9 / LBD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25.1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0.709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(0.00) / NA</w:t>
            </w:r>
          </w:p>
        </w:tc>
        <w:tc>
          <w:tcPr>
            <w:tcW w:w="7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sz w:val="14"/>
                <w:szCs w:val="16"/>
              </w:rPr>
              <w:t>0.0084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0.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064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>59 / 0.8641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kern w:val="0"/>
                <w:sz w:val="14"/>
                <w:szCs w:val="16"/>
              </w:rPr>
              <w:t xml:space="preserve">0.02095 / 0.7065 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Warm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 xml:space="preserve"> VUS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  <w:vertAlign w:val="superscript"/>
              </w:rPr>
              <w:t>a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br/>
              <w:t>(PM3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 xml:space="preserve">, 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PP3, PS3_ Supporting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, BA1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C7634" w:rsidRPr="00B24A63" w:rsidRDefault="001C185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6"/>
              </w:rPr>
            </w:pP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t xml:space="preserve">This study 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br/>
              <w:t>Yang et al. (2013)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br/>
              <w:t>Wu et al. (2015)</w:t>
            </w:r>
            <w:r w:rsidRPr="00B24A63">
              <w:rPr>
                <w:rFonts w:ascii="Arial" w:eastAsia="맑은 고딕" w:hAnsi="Arial" w:cs="Arial"/>
                <w:color w:val="000000"/>
                <w:sz w:val="14"/>
                <w:szCs w:val="16"/>
              </w:rPr>
              <w:br/>
              <w:t>Liu et al. (2022)</w:t>
            </w:r>
          </w:p>
        </w:tc>
      </w:tr>
    </w:tbl>
    <w:p w:rsidR="005C7634" w:rsidRDefault="001C1854">
      <w:pPr>
        <w:spacing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Abbreviations: DBD, DNA-binding domain; LBD, ligand-binding domain; NA, not available; ND,</w:t>
      </w:r>
      <w:r>
        <w:rPr>
          <w:rFonts w:ascii="Arial" w:hAnsi="Arial" w:cs="Arial"/>
          <w:sz w:val="16"/>
          <w:szCs w:val="16"/>
        </w:rPr>
        <w:t xml:space="preserve"> not detected; VUS, variants of uncertain significance</w:t>
      </w:r>
    </w:p>
    <w:p w:rsidR="005C7634" w:rsidRDefault="001C1854">
      <w:pPr>
        <w:spacing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Refseq transcript accession number NM_004452.3; Refseq protein accession number NP_004443.3.</w:t>
      </w:r>
    </w:p>
    <w:p w:rsidR="005C7634" w:rsidRDefault="001C1854">
      <w:pPr>
        <w:wordWrap/>
        <w:spacing w:before="30" w:after="0" w:line="240" w:lineRule="auto"/>
        <w:ind w:right="30"/>
        <w:rPr>
          <w:rFonts w:ascii="Arial" w:hAnsi="Arial" w:cs="Arial"/>
          <w:color w:val="000000"/>
          <w:kern w:val="0"/>
          <w:sz w:val="16"/>
          <w:szCs w:val="16"/>
        </w:rPr>
      </w:pPr>
      <w:r>
        <w:rPr>
          <w:rFonts w:ascii="Arial" w:hAnsi="Arial" w:cs="Arial"/>
          <w:color w:val="000000"/>
          <w:kern w:val="0"/>
          <w:sz w:val="16"/>
          <w:szCs w:val="16"/>
        </w:rPr>
        <w:t>HGVS: Human Genome Variation Society (</w:t>
      </w:r>
      <w:r>
        <w:rPr>
          <w:rFonts w:ascii="Arial" w:hAnsi="Arial" w:cs="Arial"/>
          <w:color w:val="0000FF"/>
          <w:kern w:val="0"/>
          <w:sz w:val="16"/>
          <w:szCs w:val="16"/>
        </w:rPr>
        <w:t>https://www.hgvs.org/</w:t>
      </w:r>
      <w:r>
        <w:rPr>
          <w:rFonts w:ascii="Arial" w:hAnsi="Arial" w:cs="Arial"/>
          <w:color w:val="000000"/>
          <w:kern w:val="0"/>
          <w:sz w:val="16"/>
          <w:szCs w:val="16"/>
        </w:rPr>
        <w:t>); Sequence Variant Nomenclature (</w:t>
      </w:r>
      <w:r>
        <w:rPr>
          <w:rFonts w:ascii="Arial" w:hAnsi="Arial" w:cs="Arial"/>
          <w:color w:val="0000FF"/>
          <w:kern w:val="0"/>
          <w:sz w:val="16"/>
          <w:szCs w:val="16"/>
        </w:rPr>
        <w:t>http://varnomen.hgvs.org/</w:t>
      </w:r>
      <w:r>
        <w:rPr>
          <w:rFonts w:ascii="Arial" w:hAnsi="Arial" w:cs="Arial"/>
          <w:color w:val="000000"/>
          <w:kern w:val="0"/>
          <w:sz w:val="16"/>
          <w:szCs w:val="16"/>
        </w:rPr>
        <w:t>); CADD: Combined Annotation Dependent Depletion (</w:t>
      </w:r>
      <w:r>
        <w:rPr>
          <w:rFonts w:ascii="Arial" w:hAnsi="Arial" w:cs="Arial"/>
          <w:color w:val="0000FF"/>
          <w:kern w:val="0"/>
          <w:sz w:val="16"/>
          <w:szCs w:val="16"/>
        </w:rPr>
        <w:t>https://cadd.gs.washington.edu/</w:t>
      </w:r>
      <w:r>
        <w:rPr>
          <w:rFonts w:ascii="Arial" w:hAnsi="Arial" w:cs="Arial"/>
          <w:color w:val="000000"/>
          <w:kern w:val="0"/>
          <w:sz w:val="16"/>
          <w:szCs w:val="16"/>
        </w:rPr>
        <w:t>); REVEL: Rare Exome Variant Ensemble Learner (</w:t>
      </w:r>
      <w:r>
        <w:rPr>
          <w:rFonts w:ascii="Arial" w:hAnsi="Arial" w:cs="Arial"/>
          <w:color w:val="0000FF"/>
          <w:kern w:val="0"/>
          <w:sz w:val="16"/>
          <w:szCs w:val="16"/>
        </w:rPr>
        <w:t>https://sites.google.com/site/revelgenomics/</w:t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); </w:t>
      </w:r>
      <w:proofErr w:type="spellStart"/>
      <w:r>
        <w:rPr>
          <w:rFonts w:ascii="Arial" w:hAnsi="Arial" w:cs="Arial"/>
          <w:color w:val="000000"/>
          <w:kern w:val="0"/>
          <w:sz w:val="16"/>
          <w:szCs w:val="16"/>
        </w:rPr>
        <w:t>SpliceAI</w:t>
      </w:r>
      <w:proofErr w:type="spellEnd"/>
      <w:r>
        <w:rPr>
          <w:rFonts w:ascii="Arial" w:hAnsi="Arial" w:cs="Arial"/>
          <w:color w:val="000000"/>
          <w:kern w:val="0"/>
          <w:sz w:val="16"/>
          <w:szCs w:val="16"/>
        </w:rPr>
        <w:t xml:space="preserve"> (</w:t>
      </w:r>
      <w:hyperlink r:id="rId6" w:history="1">
        <w:r>
          <w:rPr>
            <w:rStyle w:val="a3"/>
            <w:rFonts w:ascii="Arial" w:hAnsi="Arial" w:cs="Arial"/>
            <w:kern w:val="0"/>
            <w:sz w:val="16"/>
            <w:szCs w:val="16"/>
          </w:rPr>
          <w:t>https://spliceailookup.broadinstitute.org/</w:t>
        </w:r>
      </w:hyperlink>
      <w:r>
        <w:rPr>
          <w:rFonts w:ascii="Arial" w:hAnsi="Arial" w:cs="Arial"/>
          <w:color w:val="000000"/>
          <w:kern w:val="0"/>
          <w:sz w:val="16"/>
          <w:szCs w:val="16"/>
        </w:rPr>
        <w:t>),  KRGDB: Korean Reference Genome Database (</w:t>
      </w:r>
      <w:r>
        <w:rPr>
          <w:rFonts w:ascii="Arial" w:hAnsi="Arial" w:cs="Arial"/>
          <w:color w:val="0000FF"/>
          <w:kern w:val="0"/>
          <w:sz w:val="16"/>
          <w:szCs w:val="16"/>
        </w:rPr>
        <w:t>http://coda.nih.go.kr/coda/KRGDB/index.jsp</w:t>
      </w:r>
      <w:r>
        <w:rPr>
          <w:rFonts w:ascii="Arial" w:hAnsi="Arial" w:cs="Arial"/>
          <w:color w:val="000000"/>
          <w:kern w:val="0"/>
          <w:sz w:val="16"/>
          <w:szCs w:val="16"/>
        </w:rPr>
        <w:t>); KOVA2 (Korean Variant Archive for a reference database of genetic variations in the Korean population databases</w:t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 (</w:t>
      </w:r>
      <w:hyperlink r:id="rId7" w:history="1">
        <w:r>
          <w:rPr>
            <w:rStyle w:val="a3"/>
            <w:rFonts w:ascii="Arial" w:hAnsi="Arial" w:cs="Arial"/>
            <w:kern w:val="0"/>
            <w:sz w:val="16"/>
            <w:szCs w:val="16"/>
          </w:rPr>
          <w:t>https://www.kobic.re.kr/kova/search_detail_view_hg19</w:t>
        </w:r>
      </w:hyperlink>
      <w:r>
        <w:rPr>
          <w:rFonts w:ascii="Arial" w:hAnsi="Arial" w:cs="Arial"/>
          <w:color w:val="000000"/>
          <w:kern w:val="0"/>
          <w:sz w:val="16"/>
          <w:szCs w:val="16"/>
        </w:rPr>
        <w:t xml:space="preserve">); </w:t>
      </w:r>
      <w:proofErr w:type="spellStart"/>
      <w:r>
        <w:rPr>
          <w:rFonts w:ascii="Arial" w:hAnsi="Arial" w:cs="Arial"/>
          <w:color w:val="000000"/>
          <w:kern w:val="0"/>
          <w:sz w:val="16"/>
          <w:szCs w:val="16"/>
        </w:rPr>
        <w:t>gnomAD</w:t>
      </w:r>
      <w:proofErr w:type="spellEnd"/>
      <w:r>
        <w:rPr>
          <w:rFonts w:ascii="Arial" w:hAnsi="Arial" w:cs="Arial"/>
          <w:color w:val="000000"/>
          <w:kern w:val="0"/>
          <w:sz w:val="16"/>
          <w:szCs w:val="16"/>
        </w:rPr>
        <w:t>: The Genome Aggregation Database (</w:t>
      </w:r>
      <w:r>
        <w:rPr>
          <w:rFonts w:ascii="Arial" w:hAnsi="Arial" w:cs="Arial"/>
          <w:color w:val="0000FF"/>
          <w:kern w:val="0"/>
          <w:sz w:val="16"/>
          <w:szCs w:val="16"/>
        </w:rPr>
        <w:t>https://gnomad.broadinstitute.org/</w:t>
      </w:r>
      <w:r>
        <w:rPr>
          <w:rFonts w:ascii="Arial" w:hAnsi="Arial" w:cs="Arial"/>
          <w:color w:val="000000"/>
          <w:kern w:val="0"/>
          <w:sz w:val="16"/>
          <w:szCs w:val="16"/>
        </w:rPr>
        <w:t>); ACMG/AMP 2018 guideline (</w:t>
      </w:r>
      <w:r>
        <w:rPr>
          <w:rFonts w:ascii="Arial" w:hAnsi="Arial" w:cs="Arial"/>
          <w:color w:val="0000FF"/>
          <w:kern w:val="0"/>
          <w:sz w:val="16"/>
          <w:szCs w:val="16"/>
        </w:rPr>
        <w:t>http://wintervar.wglab.org/</w:t>
      </w:r>
      <w:r>
        <w:rPr>
          <w:rFonts w:ascii="Arial" w:hAnsi="Arial" w:cs="Arial"/>
          <w:color w:val="000000"/>
          <w:kern w:val="0"/>
          <w:sz w:val="16"/>
          <w:szCs w:val="16"/>
        </w:rPr>
        <w:t>).</w:t>
      </w:r>
    </w:p>
    <w:p w:rsidR="005C7634" w:rsidRDefault="001C1854">
      <w:pPr>
        <w:wordWrap/>
        <w:spacing w:before="30" w:after="0" w:line="240" w:lineRule="auto"/>
        <w:ind w:right="30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Note</w:t>
      </w:r>
      <w:r>
        <w:rPr>
          <w:rFonts w:ascii="Arial" w:hAnsi="Arial" w:cs="Arial"/>
          <w:kern w:val="0"/>
          <w:sz w:val="16"/>
          <w:szCs w:val="16"/>
          <w:vertAlign w:val="superscript"/>
        </w:rPr>
        <w:t>a</w:t>
      </w:r>
      <w:r>
        <w:rPr>
          <w:rFonts w:ascii="Arial" w:hAnsi="Arial" w:cs="Arial"/>
          <w:kern w:val="0"/>
          <w:sz w:val="16"/>
          <w:szCs w:val="16"/>
        </w:rPr>
        <w:t xml:space="preserve">: Based on the UK Association for Clinical Genomic Science Practice Guideline, variants of unknown significance (VUS) were further classified into hot, warm, tepid, and cool. </w:t>
      </w:r>
    </w:p>
    <w:sectPr w:rsidR="005C7634">
      <w:pgSz w:w="16838" w:h="11906" w:orient="landscape"/>
      <w:pgMar w:top="1440" w:right="1440" w:bottom="1440" w:left="1701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1854" w:rsidRDefault="001C1854" w:rsidP="00B24A63">
      <w:pPr>
        <w:spacing w:after="0" w:line="240" w:lineRule="auto"/>
      </w:pPr>
      <w:r>
        <w:separator/>
      </w:r>
    </w:p>
  </w:endnote>
  <w:endnote w:type="continuationSeparator" w:id="0">
    <w:p w:rsidR="001C1854" w:rsidRDefault="001C1854" w:rsidP="00B24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1854" w:rsidRDefault="001C1854" w:rsidP="00B24A63">
      <w:pPr>
        <w:spacing w:after="0" w:line="240" w:lineRule="auto"/>
      </w:pPr>
      <w:r>
        <w:separator/>
      </w:r>
    </w:p>
  </w:footnote>
  <w:footnote w:type="continuationSeparator" w:id="0">
    <w:p w:rsidR="001C1854" w:rsidRDefault="001C1854" w:rsidP="00B24A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634"/>
    <w:rsid w:val="001C1854"/>
    <w:rsid w:val="005C7634"/>
    <w:rsid w:val="00B24A63"/>
    <w:rsid w:val="00F4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Pr>
      <w:color w:val="605E5C"/>
      <w:shd w:val="clear" w:color="auto" w:fill="E1DFDD"/>
    </w:rPr>
  </w:style>
  <w:style w:type="table" w:styleId="a4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</w:style>
  <w:style w:type="paragraph" w:styleId="a6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</w:style>
  <w:style w:type="character" w:styleId="a7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8">
    <w:name w:val="annotation text"/>
    <w:basedOn w:val="a"/>
    <w:link w:val="Char1"/>
    <w:uiPriority w:val="99"/>
    <w:unhideWhenUsed/>
    <w:pPr>
      <w:jc w:val="left"/>
    </w:pPr>
  </w:style>
  <w:style w:type="character" w:customStyle="1" w:styleId="Char1">
    <w:name w:val="메모 텍스트 Char"/>
    <w:basedOn w:val="a0"/>
    <w:link w:val="a8"/>
    <w:uiPriority w:val="99"/>
  </w:style>
  <w:style w:type="paragraph" w:styleId="a9">
    <w:name w:val="annotation subject"/>
    <w:basedOn w:val="a8"/>
    <w:next w:val="a8"/>
    <w:link w:val="Char2"/>
    <w:uiPriority w:val="99"/>
    <w:semiHidden/>
    <w:unhideWhenUsed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Pr>
      <w:b/>
      <w:bCs/>
    </w:rPr>
  </w:style>
  <w:style w:type="paragraph" w:customStyle="1" w:styleId="10">
    <w:name w:val="수정1"/>
    <w:hidden/>
    <w:uiPriority w:val="99"/>
    <w:semiHidden/>
    <w:pPr>
      <w:spacing w:after="0" w:line="240" w:lineRule="auto"/>
      <w:jc w:val="left"/>
    </w:pPr>
  </w:style>
  <w:style w:type="paragraph" w:styleId="aa">
    <w:name w:val="Balloon Text"/>
    <w:basedOn w:val="a"/>
    <w:link w:val="Char3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kobic.re.kr/kova/search_detail_view_hg1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pliceailookup.broadinstitute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4150</Characters>
  <Application>Microsoft Office Word</Application>
  <DocSecurity>0</DocSecurity>
  <Lines>461</Lines>
  <Paragraphs>346</Paragraphs>
  <ScaleCrop>false</ScaleCrop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2024-01-14T02:20:00Z</dcterms:created>
  <dcterms:modified xsi:type="dcterms:W3CDTF">2024-07-16T03:24:00Z</dcterms:modifi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cfc6f7afdf7639b3b843b95205890d9681a87494aab79bb1c48da497ece19eb2</vt:lpwstr>
  </property>
</Properties>
</file>