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ms-office.chartcolorstyle+xml" PartName="/word/charts/colors3.xml"/>
  <Override ContentType="application/vnd.ms-office.chartcolorstyle+xml" PartName="/word/charts/colors2.xml"/>
  <Override ContentType="application/vnd.ms-office.chartcolorstyle+xml" PartName="/word/charts/colors1.xml"/>
  <Override ContentType="application/vnd.openxmlformats-officedocument.drawingml.chart+xml" PartName="/word/charts/chart1.xml"/>
  <Override ContentType="application/vnd.openxmlformats-officedocument.drawingml.chart+xml" PartName="/word/charts/chart2.xml"/>
  <Override ContentType="application/vnd.openxmlformats-officedocument.drawingml.chart+xml" PartName="/word/charts/chart3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ms-office.chartstyle+xml" PartName="/word/charts/style1.xml"/>
  <Override ContentType="application/vnd.ms-office.chartstyle+xml" PartName="/word/charts/style3.xml"/>
  <Override ContentType="application/vnd.ms-office.chartstyle+xml" PartName="/word/charts/style2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b w:val="1"/>
          <w:color w:val="2a2a2a"/>
          <w:sz w:val="23"/>
          <w:szCs w:val="23"/>
        </w:rPr>
      </w:pPr>
      <w:r w:rsidDel="00000000" w:rsidR="00000000" w:rsidRPr="00000000">
        <w:rPr>
          <w:b w:val="1"/>
          <w:color w:val="2a2a2a"/>
          <w:sz w:val="23"/>
          <w:szCs w:val="23"/>
          <w:rtl w:val="0"/>
        </w:rPr>
        <w:t xml:space="preserve">IMPACT AND CONSEQUENCES OF THE ERROR OF ESTIMATED GFR IN PATIENTS WITH HEART FAILURE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color w:val="2a2a2a"/>
          <w:sz w:val="23"/>
          <w:szCs w:val="23"/>
          <w:vertAlign w:val="superscript"/>
        </w:rPr>
      </w:pPr>
      <w:r w:rsidDel="00000000" w:rsidR="00000000" w:rsidRPr="00000000">
        <w:rPr>
          <w:color w:val="2a2a2a"/>
          <w:sz w:val="23"/>
          <w:szCs w:val="23"/>
          <w:rtl w:val="0"/>
        </w:rPr>
        <w:t xml:space="preserve">P. Jorge-Pérez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1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Martín J. García-González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1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Marta M. Martín-Cabeza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1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Natalia Negrín-Mena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3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Sergio Luis-Lima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4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Federico González-Rinne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3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Francisco Bosa-Ojeda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1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Flavio Gaspari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2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Laura Díaz Martín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3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; Esteban Porrini</w:t>
      </w:r>
      <w:r w:rsidDel="00000000" w:rsidR="00000000" w:rsidRPr="00000000">
        <w:rPr>
          <w:color w:val="2a2a2a"/>
          <w:sz w:val="23"/>
          <w:szCs w:val="23"/>
          <w:vertAlign w:val="superscript"/>
          <w:rtl w:val="0"/>
        </w:rPr>
        <w:t xml:space="preserve">2, 3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color w:val="2a2a2a"/>
          <w:sz w:val="23"/>
          <w:szCs w:val="23"/>
        </w:rPr>
      </w:pPr>
      <w:r w:rsidDel="00000000" w:rsidR="00000000" w:rsidRPr="00000000">
        <w:rPr>
          <w:color w:val="2a2a2a"/>
          <w:sz w:val="23"/>
          <w:szCs w:val="23"/>
          <w:rtl w:val="0"/>
        </w:rPr>
        <w:t xml:space="preserve">1- Acute Cardiovascular Care Unit, Cardiology Department - Hospital Universitario de Canarias, Santa Cruz de Tenerife, Spain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color w:val="2a2a2a"/>
          <w:sz w:val="23"/>
          <w:szCs w:val="23"/>
        </w:rPr>
      </w:pPr>
      <w:r w:rsidDel="00000000" w:rsidR="00000000" w:rsidRPr="00000000">
        <w:rPr>
          <w:color w:val="2a2a2a"/>
          <w:sz w:val="23"/>
          <w:szCs w:val="23"/>
          <w:rtl w:val="0"/>
        </w:rPr>
        <w:t xml:space="preserve">2- Internal Medicine Department, ITB: Instituto de Tecnologías Biomédicas, Universidad de La Laguna, Santa Cruz de Tenerife, Spain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color w:val="2a2a2a"/>
          <w:sz w:val="23"/>
          <w:szCs w:val="23"/>
        </w:rPr>
      </w:pPr>
      <w:r w:rsidDel="00000000" w:rsidR="00000000" w:rsidRPr="00000000">
        <w:rPr>
          <w:color w:val="2a2a2a"/>
          <w:sz w:val="23"/>
          <w:szCs w:val="23"/>
          <w:rtl w:val="0"/>
        </w:rPr>
        <w:t xml:space="preserve">3- </w:t>
      </w:r>
      <w:r w:rsidDel="00000000" w:rsidR="00000000" w:rsidRPr="00000000">
        <w:rPr>
          <w:color w:val="212121"/>
          <w:highlight w:val="white"/>
          <w:rtl w:val="0"/>
        </w:rPr>
        <w:t xml:space="preserve">Research Unit Department, Hospital Universitario de Canarias, </w:t>
      </w:r>
      <w:r w:rsidDel="00000000" w:rsidR="00000000" w:rsidRPr="00000000">
        <w:rPr>
          <w:color w:val="2a2a2a"/>
          <w:sz w:val="23"/>
          <w:szCs w:val="23"/>
          <w:rtl w:val="0"/>
        </w:rPr>
        <w:t xml:space="preserve">Santa Cruz de Tenerife, Spain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color w:val="2a2a2a"/>
          <w:sz w:val="23"/>
          <w:szCs w:val="23"/>
        </w:rPr>
      </w:pPr>
      <w:r w:rsidDel="00000000" w:rsidR="00000000" w:rsidRPr="00000000">
        <w:rPr>
          <w:color w:val="2a2a2a"/>
          <w:sz w:val="23"/>
          <w:szCs w:val="23"/>
          <w:rtl w:val="0"/>
        </w:rPr>
        <w:t xml:space="preserve">4- Department of Laboratory Medicine. Complejo Hospitalario Universitario de Canarias. Tenerife. Spain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SUPPLEMENTARY MATERIAL INDEX</w:t>
      </w:r>
    </w:p>
    <w:p w:rsidR="00000000" w:rsidDel="00000000" w:rsidP="00000000" w:rsidRDefault="00000000" w:rsidRPr="00000000" w14:paraId="00000008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Figure 1_Supplementary material - </w:t>
      </w:r>
      <w:r w:rsidDel="00000000" w:rsidR="00000000" w:rsidRPr="00000000">
        <w:rPr>
          <w:sz w:val="26"/>
          <w:szCs w:val="26"/>
          <w:rtl w:val="0"/>
        </w:rPr>
        <w:t xml:space="preserve">Furosemide doses</w:t>
      </w:r>
    </w:p>
    <w:p w:rsidR="00000000" w:rsidDel="00000000" w:rsidP="00000000" w:rsidRDefault="00000000" w:rsidRPr="00000000" w14:paraId="0000000B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1_Supplementary material - </w:t>
      </w:r>
      <w:r w:rsidDel="00000000" w:rsidR="00000000" w:rsidRPr="00000000">
        <w:rPr>
          <w:sz w:val="26"/>
          <w:szCs w:val="26"/>
          <w:rtl w:val="0"/>
        </w:rPr>
        <w:t xml:space="preserve">Multiple regression analysis. Model 1 (mGFR) </w:t>
      </w:r>
    </w:p>
    <w:p w:rsidR="00000000" w:rsidDel="00000000" w:rsidP="00000000" w:rsidRDefault="00000000" w:rsidRPr="00000000" w14:paraId="0000000D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2_Supplementary material - </w:t>
      </w:r>
      <w:r w:rsidDel="00000000" w:rsidR="00000000" w:rsidRPr="00000000">
        <w:rPr>
          <w:sz w:val="26"/>
          <w:szCs w:val="26"/>
          <w:rtl w:val="0"/>
        </w:rPr>
        <w:t xml:space="preserve">Baseline characteristics. previous treatments and laboratory variables in patients with and without cystatin value 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3_Supplementary material.</w:t>
      </w:r>
      <w:r w:rsidDel="00000000" w:rsidR="00000000" w:rsidRPr="00000000">
        <w:rPr>
          <w:sz w:val="26"/>
          <w:szCs w:val="26"/>
          <w:rtl w:val="0"/>
        </w:rPr>
        <w:t xml:space="preserve"> Renal function 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4 and Figure 2_Supplementary material.</w:t>
      </w:r>
      <w:r w:rsidDel="00000000" w:rsidR="00000000" w:rsidRPr="00000000">
        <w:rPr>
          <w:sz w:val="26"/>
          <w:szCs w:val="26"/>
          <w:rtl w:val="0"/>
        </w:rPr>
        <w:t xml:space="preserve"> AUC in the simple regression models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5 _Supplementary material. </w:t>
      </w:r>
      <w:r w:rsidDel="00000000" w:rsidR="00000000" w:rsidRPr="00000000">
        <w:rPr>
          <w:sz w:val="26"/>
          <w:szCs w:val="26"/>
          <w:rtl w:val="0"/>
        </w:rPr>
        <w:t xml:space="preserve">C-Statistic of the multiple regression model</w:t>
      </w:r>
    </w:p>
    <w:p w:rsidR="00000000" w:rsidDel="00000000" w:rsidP="00000000" w:rsidRDefault="00000000" w:rsidRPr="00000000" w14:paraId="00000015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Figure 1_Supplementary material - </w:t>
      </w:r>
      <w:r w:rsidDel="00000000" w:rsidR="00000000" w:rsidRPr="00000000">
        <w:rPr>
          <w:sz w:val="26"/>
          <w:szCs w:val="26"/>
          <w:rtl w:val="0"/>
        </w:rPr>
        <w:t xml:space="preserve">Furosemide doses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Furosemide doses during the first three days of admission. Doses are represented in milligrams / 24 hours</w:t>
      </w:r>
    </w:p>
    <w:p w:rsidR="00000000" w:rsidDel="00000000" w:rsidP="00000000" w:rsidRDefault="00000000" w:rsidRPr="00000000" w14:paraId="00000020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26"/>
          <w:szCs w:val="26"/>
        </w:rPr>
      </w:pPr>
      <w:r w:rsidDel="00000000" w:rsidR="00000000" w:rsidRPr="00000000">
        <w:rPr/>
        <w:drawing>
          <wp:inline distB="0" distT="0" distL="0" distR="0">
            <wp:extent cx="4572000" cy="2743200"/>
            <wp:docPr id="1053601203" name=""/>
            <a:graphic>
              <a:graphicData uri="http://schemas.openxmlformats.org/drawingml/2006/chart">
                <c:chart r:id="rId7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6"/>
          <w:szCs w:val="26"/>
        </w:rPr>
      </w:pPr>
      <w:r w:rsidDel="00000000" w:rsidR="00000000" w:rsidRPr="00000000">
        <w:rPr/>
        <w:drawing>
          <wp:inline distB="0" distT="0" distL="0" distR="0">
            <wp:extent cx="4572000" cy="2743200"/>
            <wp:docPr id="1053601205" name=""/>
            <a:graphic>
              <a:graphicData uri="http://schemas.openxmlformats.org/drawingml/2006/chart">
                <c:chart r:id="rId8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6"/>
          <w:szCs w:val="26"/>
        </w:rPr>
      </w:pPr>
      <w:r w:rsidDel="00000000" w:rsidR="00000000" w:rsidRPr="00000000">
        <w:rPr/>
        <w:drawing>
          <wp:inline distB="0" distT="0" distL="0" distR="0">
            <wp:extent cx="4572000" cy="2743200"/>
            <wp:docPr id="1053601204" name=""/>
            <a:graphic>
              <a:graphicData uri="http://schemas.openxmlformats.org/drawingml/2006/chart">
                <c:chart r:id="rId9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1_Supplementary material - </w:t>
      </w:r>
      <w:r w:rsidDel="00000000" w:rsidR="00000000" w:rsidRPr="00000000">
        <w:rPr>
          <w:sz w:val="26"/>
          <w:szCs w:val="26"/>
          <w:rtl w:val="0"/>
        </w:rPr>
        <w:t xml:space="preserve">Multiple regression analysis. Model 1 (mGFR) 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75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61"/>
        <w:gridCol w:w="1125"/>
        <w:gridCol w:w="960"/>
        <w:gridCol w:w="1500"/>
        <w:gridCol w:w="1154"/>
        <w:gridCol w:w="1230"/>
        <w:tblGridChange w:id="0">
          <w:tblGrid>
            <w:gridCol w:w="1561"/>
            <w:gridCol w:w="1125"/>
            <w:gridCol w:w="960"/>
            <w:gridCol w:w="1500"/>
            <w:gridCol w:w="1154"/>
            <w:gridCol w:w="1230"/>
          </w:tblGrid>
        </w:tblGridChange>
      </w:tblGrid>
      <w:tr>
        <w:trPr>
          <w:cantSplit w:val="0"/>
          <w:trHeight w:val="345" w:hRule="atLeast"/>
          <w:tblHeader w:val="1"/>
        </w:trPr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Variables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Hazard Ratio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95% C.I.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ce5c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Upper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1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e0e0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color w:val="264a60"/>
                <w:sz w:val="20"/>
                <w:szCs w:val="20"/>
                <w:rtl w:val="0"/>
              </w:rPr>
              <w:t xml:space="preserve">CAD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52935" w:space="0" w:sz="6" w:val="single"/>
              <w:left w:color="000000" w:space="0" w:sz="6" w:val="single"/>
              <w:bottom w:color="aeaeae" w:space="0" w:sz="6" w:val="single"/>
              <w:right w:color="e0e0e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ind w:left="40" w:firstLine="0"/>
              <w:jc w:val="center"/>
              <w:rPr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-1.72</w:t>
            </w:r>
          </w:p>
        </w:tc>
        <w:tc>
          <w:tcPr>
            <w:tcBorders>
              <w:top w:color="152935" w:space="0" w:sz="6" w:val="single"/>
              <w:left w:color="e0e0e0" w:space="0" w:sz="6" w:val="single"/>
              <w:bottom w:color="aeaeae" w:space="0" w:sz="6" w:val="single"/>
              <w:right w:color="e0e0e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ind w:left="40" w:firstLine="0"/>
              <w:jc w:val="center"/>
              <w:rPr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.003</w:t>
            </w:r>
          </w:p>
        </w:tc>
        <w:tc>
          <w:tcPr>
            <w:tcBorders>
              <w:top w:color="152935" w:space="0" w:sz="6" w:val="single"/>
              <w:left w:color="e0e0e0" w:space="0" w:sz="6" w:val="single"/>
              <w:bottom w:color="aeaeae" w:space="0" w:sz="6" w:val="single"/>
              <w:right w:color="e0e0e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ind w:left="40" w:firstLine="0"/>
              <w:jc w:val="center"/>
              <w:rPr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.18</w:t>
            </w:r>
          </w:p>
        </w:tc>
        <w:tc>
          <w:tcPr>
            <w:tcBorders>
              <w:top w:color="152935" w:space="0" w:sz="6" w:val="single"/>
              <w:left w:color="e0e0e0" w:space="0" w:sz="6" w:val="single"/>
              <w:bottom w:color="aeaeae" w:space="0" w:sz="6" w:val="single"/>
              <w:right w:color="e0e0e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ind w:left="40" w:firstLine="0"/>
              <w:jc w:val="center"/>
              <w:rPr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.06</w:t>
            </w:r>
          </w:p>
        </w:tc>
        <w:tc>
          <w:tcPr>
            <w:tcBorders>
              <w:top w:color="152935" w:space="0" w:sz="6" w:val="single"/>
              <w:left w:color="e0e0e0" w:space="0" w:sz="6" w:val="single"/>
              <w:bottom w:color="aeaeae" w:space="0" w:sz="6" w:val="single"/>
              <w:right w:color="bfbfbf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ind w:left="40" w:firstLine="0"/>
              <w:jc w:val="center"/>
              <w:rPr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.55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e0e0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logNT-proBNP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-1.04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0.35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0.09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e0e0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color w:val="264a60"/>
                <w:sz w:val="20"/>
                <w:szCs w:val="20"/>
                <w:rtl w:val="0"/>
              </w:rPr>
              <w:t xml:space="preserve">LVEF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-0.04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0.96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0.93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0.9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e0e0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color w:val="264a60"/>
                <w:sz w:val="20"/>
                <w:szCs w:val="20"/>
                <w:rtl w:val="0"/>
              </w:rPr>
              <w:t xml:space="preserve">BMI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1.16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highlight w:val="white"/>
                <w:rtl w:val="0"/>
              </w:rPr>
              <w:t xml:space="preserve">1.29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color w:val="264a60"/>
                <w:sz w:val="20"/>
                <w:szCs w:val="20"/>
                <w:rtl w:val="0"/>
              </w:rPr>
              <w:t xml:space="preserve">mGFR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-0.02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10205"/>
                <w:sz w:val="20"/>
                <w:szCs w:val="20"/>
                <w:rtl w:val="0"/>
              </w:rPr>
              <w:t xml:space="preserve">0.99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Models based on previous coronary artery disease (CAD). NT-proBNP level. LVEF and BMI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2_Supplementary material - </w:t>
      </w:r>
      <w:r w:rsidDel="00000000" w:rsidR="00000000" w:rsidRPr="00000000">
        <w:rPr>
          <w:sz w:val="26"/>
          <w:szCs w:val="26"/>
          <w:rtl w:val="0"/>
        </w:rPr>
        <w:t xml:space="preserve">Baseline characteristics. previous treatments and laboratory variables in patients with and without cystatin value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55.0" w:type="dxa"/>
        <w:jc w:val="left"/>
        <w:tblInd w:w="-6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30"/>
        <w:gridCol w:w="1995"/>
        <w:gridCol w:w="1800"/>
        <w:gridCol w:w="1935"/>
        <w:gridCol w:w="1095"/>
        <w:tblGridChange w:id="0">
          <w:tblGrid>
            <w:gridCol w:w="3930"/>
            <w:gridCol w:w="1995"/>
            <w:gridCol w:w="1800"/>
            <w:gridCol w:w="1935"/>
            <w:gridCol w:w="10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Overall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With Cys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Without Cys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p-value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b6d7a8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b6d7a8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60 (67)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b6d7a8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 (33)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b6d7a8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b6d7a8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Age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yr</w:t>
            </w:r>
          </w:p>
        </w:tc>
        <w:tc>
          <w:tcPr>
            <w:tcBorders>
              <w:top w:color="b6d7a8" w:space="0" w:sz="6" w:val="single"/>
              <w:left w:color="b6d7a8" w:space="0" w:sz="6" w:val="single"/>
              <w:bottom w:color="b6d7a8" w:space="0" w:sz="6" w:val="single"/>
              <w:right w:color="b6d7a8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66 ±12</w:t>
            </w:r>
          </w:p>
        </w:tc>
        <w:tc>
          <w:tcPr>
            <w:tcBorders>
              <w:top w:color="b6d7a8" w:space="0" w:sz="6" w:val="single"/>
              <w:left w:color="b6d7a8" w:space="0" w:sz="6" w:val="single"/>
              <w:bottom w:color="b6d7a8" w:space="0" w:sz="6" w:val="single"/>
              <w:right w:color="b6d7a8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66 ±13</w:t>
            </w:r>
          </w:p>
        </w:tc>
        <w:tc>
          <w:tcPr>
            <w:tcBorders>
              <w:top w:color="b6d7a8" w:space="0" w:sz="6" w:val="single"/>
              <w:left w:color="b6d7a8" w:space="0" w:sz="6" w:val="single"/>
              <w:bottom w:color="b6d7a8" w:space="0" w:sz="6" w:val="single"/>
              <w:right w:color="b6d7a8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66 ±11</w:t>
            </w:r>
          </w:p>
        </w:tc>
        <w:tc>
          <w:tcPr>
            <w:tcBorders>
              <w:top w:color="b6d7a8" w:space="0" w:sz="6" w:val="single"/>
              <w:left w:color="b6d7a8" w:space="0" w:sz="6" w:val="single"/>
              <w:bottom w:color="b6d7a8" w:space="0" w:sz="6" w:val="single"/>
              <w:right w:color="b6d7a8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Gender: men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b6d7a8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 (58)</w:t>
            </w:r>
          </w:p>
        </w:tc>
        <w:tc>
          <w:tcPr>
            <w:tcBorders>
              <w:top w:color="b6d7a8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 (62)</w:t>
            </w:r>
          </w:p>
        </w:tc>
        <w:tc>
          <w:tcPr>
            <w:tcBorders>
              <w:top w:color="b6d7a8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 (46)</w:t>
            </w:r>
          </w:p>
        </w:tc>
        <w:tc>
          <w:tcPr>
            <w:tcBorders>
              <w:top w:color="b6d7a8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Body mass index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kg/m2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 ±5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 ±5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28±6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COMORBIDITIES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Diabetes Mellitus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54 (60)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34 (57)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(66)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0.27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Hypertension - 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68 (76)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44 (74)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 (86)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</w:t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Current smoker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(22)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(17)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 (30)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Dyslipidemia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63 (70)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42 (70)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(66)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Coronary artery disease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35 (39)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(33)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 (46)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0.24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Cerebrovascular diseases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 (13)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 (12)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(16)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0.53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CKD (GFR &lt;60 ml/min)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 (34)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 (35)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(33)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HEART FAILURE (HF)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 novo HF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63 (70)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41 (68)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 (73)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0.7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Known duration of HF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yr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1.7 (0-30)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1.5 (0-30)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1.8 (0-4)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0.75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Left ventricular diameter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57 ±8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56 ±9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58 ±7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E/é ratio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 ±6.5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 ±7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 ±5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0.25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LVOT – VTI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 ±5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 ±5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 ±4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0.48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SPAP &gt; 50mmHg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 (20)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 (22)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(17)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LVEF %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41 ±14.5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42 ±15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 ±12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0.44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MEDICATIONS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Aspirin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44 (49)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 (42)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 (60)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ACEi/ARAii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 (61)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36 (58)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 (50)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0.32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Betablockers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54 (60)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33 (56)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(66)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Furosemide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 (58)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 (62)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 (47)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Statins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60 (67)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38 (64)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 (70)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Mineralocorticoid receptor antagonists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-n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 (24)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 (25)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 (20)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LABORATORY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Hemoglobin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gr/dl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 ±2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 ±2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 ±2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HbA1c %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6.9 ±1.8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6.8 ±1.8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6.8 ±1.7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Triglycerides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mg/dl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119 ±50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114 ±48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129 ±53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0.18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LDL-cholesterol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mg/dl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78 ±34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78 ±35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78 ±31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0.0001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Troponin T us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pg/ml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208 ±353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181 ±331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270 ±397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0.27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NT-proBNP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pg/ml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8745 ± 8349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7462 ±6740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11497 ±10498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0.031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Heart Rate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bpm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97 ± 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99 ± 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94 ± 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0.26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Systolic BP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mmHg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132 ± 29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133 ±29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130 ±28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Diastolic BP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mmHg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75 ±16.4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74 ±17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76 ±15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Follow-up time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yr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±2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±2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2.5 ±1.6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0.03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CV events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36 (60)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 (53)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0.48</w:t>
            </w:r>
          </w:p>
        </w:tc>
      </w:tr>
    </w:tbl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SBP: Systolic Blood pressure; DBP: Diastolic Blood Pressure; LVOT-VTI: Left ventricular outflow tract - velocity/time integral; SPAP: systolic pulmonary arterial pressure; LVEF: Left ventricular Ejection Fraction; CKD: Chronic Kidney Disease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sz w:val="24"/>
          <w:szCs w:val="24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3_Supplementary material</w:t>
      </w:r>
      <w:r w:rsidDel="00000000" w:rsidR="00000000" w:rsidRPr="00000000">
        <w:rPr>
          <w:b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Renal function </w:t>
      </w:r>
    </w:p>
    <w:tbl>
      <w:tblPr>
        <w:tblStyle w:val="Table3"/>
        <w:tblW w:w="10685.0" w:type="dxa"/>
        <w:jc w:val="left"/>
        <w:tblInd w:w="-6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5"/>
        <w:gridCol w:w="1950"/>
        <w:gridCol w:w="2040"/>
        <w:gridCol w:w="2265"/>
        <w:gridCol w:w="1185"/>
        <w:tblGridChange w:id="0">
          <w:tblGrid>
            <w:gridCol w:w="3245"/>
            <w:gridCol w:w="1950"/>
            <w:gridCol w:w="2040"/>
            <w:gridCol w:w="2265"/>
            <w:gridCol w:w="118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Overall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With Cys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Without Cys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 value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Creatinine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1.2 ±0.52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1.2 ±0.5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1.2 ±0.5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0.68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mGFR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(ml/min)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59.74 ±26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61 ±24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57 ±27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0.51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MDRD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(ml/min)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70.18 ±32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70.1 ±31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69 ±33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0.84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CKD-EPI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(ml/min)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70.21 ±30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71 ±30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68 ±30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0.69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CG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(ml/min)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74.75 ±38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75.5 ±38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73 ±39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0.79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Bun/Cr ratio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color w:val="010205"/>
                <w:sz w:val="24"/>
                <w:szCs w:val="24"/>
              </w:rPr>
            </w:pPr>
            <w:r w:rsidDel="00000000" w:rsidR="00000000" w:rsidRPr="00000000">
              <w:rPr>
                <w:color w:val="010205"/>
                <w:sz w:val="24"/>
                <w:szCs w:val="24"/>
                <w:rtl w:val="0"/>
              </w:rPr>
              <w:t xml:space="preserve">26.88 ±15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color w:val="010205"/>
                <w:sz w:val="24"/>
                <w:szCs w:val="24"/>
              </w:rPr>
            </w:pPr>
            <w:r w:rsidDel="00000000" w:rsidR="00000000" w:rsidRPr="00000000">
              <w:rPr>
                <w:color w:val="010205"/>
                <w:sz w:val="24"/>
                <w:szCs w:val="24"/>
                <w:rtl w:val="0"/>
              </w:rPr>
              <w:t xml:space="preserve">24 ±10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56">
            <w:pPr>
              <w:jc w:val="center"/>
              <w:rPr>
                <w:color w:val="010205"/>
                <w:sz w:val="24"/>
                <w:szCs w:val="24"/>
              </w:rPr>
            </w:pPr>
            <w:r w:rsidDel="00000000" w:rsidR="00000000" w:rsidRPr="00000000">
              <w:rPr>
                <w:color w:val="010205"/>
                <w:sz w:val="24"/>
                <w:szCs w:val="24"/>
                <w:rtl w:val="0"/>
              </w:rPr>
              <w:t xml:space="preserve">32 ±21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0.02</w:t>
            </w:r>
          </w:p>
        </w:tc>
      </w:tr>
    </w:tbl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4 and Figure 2_Supplementary material.</w:t>
      </w:r>
      <w:r w:rsidDel="00000000" w:rsidR="00000000" w:rsidRPr="00000000">
        <w:rPr>
          <w:sz w:val="26"/>
          <w:szCs w:val="26"/>
          <w:rtl w:val="0"/>
        </w:rPr>
        <w:t xml:space="preserve"> AUC in the simple regression models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/>
        <w:drawing>
          <wp:inline distB="114300" distT="114300" distL="114300" distR="114300">
            <wp:extent cx="4067175" cy="2359405"/>
            <wp:effectExtent b="0" l="0" r="0" t="0"/>
            <wp:docPr id="105360120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17010" l="0" r="0" t="12346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359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4"/>
        <w:tblW w:w="919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80"/>
        <w:gridCol w:w="2760"/>
        <w:gridCol w:w="2659"/>
        <w:tblGridChange w:id="0">
          <w:tblGrid>
            <w:gridCol w:w="3780"/>
            <w:gridCol w:w="2760"/>
            <w:gridCol w:w="2659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a0a0a0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shd w:fill="e3e3e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shd w:fill="e3e3e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jc w:val="center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AUC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shd w:fill="e3e3e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jc w:val="center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95% 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CKDEPI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0,709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0,603 to 0,800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COCROFT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0,719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0,613 to 0,809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Gfr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0,736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0,632 to 0,824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MDRD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0,593 to 0,792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a0a0a0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CKDEPICys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0,370 to 0,634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a0a0a0" w:space="0" w:sz="8" w:val="single"/>
              <w:left w:color="a0a0a0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CKDEPUIcysCr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0,405 to 0,668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Table 5 _Supplementary material. </w:t>
      </w:r>
      <w:r w:rsidDel="00000000" w:rsidR="00000000" w:rsidRPr="00000000">
        <w:rPr>
          <w:sz w:val="26"/>
          <w:szCs w:val="26"/>
          <w:rtl w:val="0"/>
        </w:rPr>
        <w:t xml:space="preserve">C-Statistic of the multiple regression model</w:t>
      </w:r>
    </w:p>
    <w:p w:rsidR="00000000" w:rsidDel="00000000" w:rsidP="00000000" w:rsidRDefault="00000000" w:rsidRPr="00000000" w14:paraId="0000017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80"/>
        <w:gridCol w:w="2910"/>
        <w:gridCol w:w="2955"/>
        <w:tblGridChange w:id="0">
          <w:tblGrid>
            <w:gridCol w:w="3180"/>
            <w:gridCol w:w="2910"/>
            <w:gridCol w:w="295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a0a0a0" w:space="0" w:sz="11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shd w:fill="e3e3e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shd w:fill="e3e3e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AUC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a0a0" w:space="0" w:sz="8" w:val="single"/>
              <w:left w:color="cccccc" w:space="0" w:sz="8" w:val="single"/>
              <w:bottom w:color="a0a0a0" w:space="0" w:sz="8" w:val="single"/>
              <w:right w:color="a0a0a0" w:space="0" w:sz="8" w:val="single"/>
            </w:tcBorders>
            <w:shd w:fill="e3e3e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rFonts w:ascii="Calibri" w:cs="Calibri" w:eastAsia="Calibri" w:hAnsi="Calibri"/>
                <w:b w:val="1"/>
                <w:color w:val="434343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95% 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5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rPr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CKDEPICYS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0,512 to 0,765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5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rPr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CKDEPIcysCr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0,498 to 0,753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5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rPr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CKDEPI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0,555 to 0,801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5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rPr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COCROFT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0,701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0,569 to 0,813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5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rPr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mGFR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0,729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0,599 to 0,836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cccccc" w:space="0" w:sz="5" w:val="single"/>
              <w:left w:color="a0a0a0" w:space="0" w:sz="11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rPr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34343"/>
                <w:sz w:val="20"/>
                <w:szCs w:val="20"/>
                <w:rtl w:val="0"/>
              </w:rPr>
              <w:t xml:space="preserve">MDRD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0,688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a0a0a0" w:space="0" w:sz="11" w:val="single"/>
              <w:right w:color="a0a0a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jc w:val="center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0,555 to 0,801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9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Supplementary Material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656194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56194"/>
  </w:style>
  <w:style w:type="paragraph" w:styleId="Piedepgina">
    <w:name w:val="footer"/>
    <w:basedOn w:val="Normal"/>
    <w:link w:val="PiedepginaCar"/>
    <w:uiPriority w:val="99"/>
    <w:unhideWhenUsed w:val="1"/>
    <w:rsid w:val="00656194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56194"/>
  </w:style>
  <w:style w:type="table" w:styleId="a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12" Type="http://schemas.openxmlformats.org/officeDocument/2006/relationships/footer" Target="footer1.xml"/><Relationship Id="rId9" Type="http://schemas.openxmlformats.org/officeDocument/2006/relationships/chart" Target="charts/chart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chart" Target="charts/chart1.xml"/><Relationship Id="rId8" Type="http://schemas.openxmlformats.org/officeDocument/2006/relationships/chart" Target="charts/chart3.xml"/></Relationships>
</file>

<file path=word/charts/_rels/chart1.xml.rels><?xml version="1.0" encoding="UTF-8" standalone="yes"?>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oleObject" Target="NULL" TargetMode="External"/></Relationships>
</file>

<file path=word/charts/_rels/chart2.xml.rels><?xml version="1.0" encoding="UTF-8" standalone="yes"?><Relationships xmlns="http://schemas.openxmlformats.org/package/2006/relationships"><Relationship Id="rId1" Type="http://schemas.microsoft.com/office/2011/relationships/chartStyle" Target="style2.xml"/><Relationship Id="rId2" Type="http://schemas.microsoft.com/office/2011/relationships/chartColorStyle" Target="colors2.xml"/><Relationship Id="rId3" Type="http://schemas.openxmlformats.org/officeDocument/2006/relationships/oleObject" Target="NULL" TargetMode="External"/></Relationships>
</file>

<file path=word/charts/_rels/chart3.xml.rels><?xml version="1.0" encoding="UTF-8" standalone="yes"?><Relationships xmlns="http://schemas.openxmlformats.org/package/2006/relationships"><Relationship Id="rId1" Type="http://schemas.microsoft.com/office/2011/relationships/chartStyle" Target="style3.xml"/><Relationship Id="rId2" Type="http://schemas.microsoft.com/office/2011/relationships/chartColorStyle" Target="colors3.xml"/><Relationship Id="rId3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Furosemide dose first day of admission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noFill/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8BA-3241-B741-B8BF183A19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8BA-3241-B741-B8BF183A19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8BA-3241-B741-B8BF183A19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8BA-3241-B741-B8BF183A19C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8BA-3241-B741-B8BF183A19C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8BA-3241-B741-B8BF183A19CF}"/>
              </c:ext>
            </c:extLst>
          </c:dPt>
          <c:cat>
            <c:strLit>
              <c:ptCount val="6"/>
              <c:pt idx="1">
                <c:v>0</c:v>
              </c:pt>
              <c:pt idx="2">
                <c:v>0-60</c:v>
              </c:pt>
              <c:pt idx="3">
                <c:v>60-125</c:v>
              </c:pt>
              <c:pt idx="4">
                <c:v>125-250</c:v>
              </c:pt>
              <c:pt idx="5">
                <c:v>&gt;250</c:v>
              </c:pt>
            </c:strLit>
          </c:cat>
          <c:val>
            <c:numLit>
              <c:formatCode>General</c:formatCode>
              <c:ptCount val="6"/>
              <c:pt idx="0">
                <c:v>0</c:v>
              </c:pt>
              <c:pt idx="1">
                <c:v>1</c:v>
              </c:pt>
              <c:pt idx="2">
                <c:v>6</c:v>
              </c:pt>
              <c:pt idx="3">
                <c:v>22</c:v>
              </c:pt>
              <c:pt idx="4">
                <c:v>25</c:v>
              </c:pt>
              <c:pt idx="5">
                <c:v>34</c:v>
              </c:pt>
            </c:numLit>
          </c:val>
          <c:extLst>
            <c:ext xmlns:c16="http://schemas.microsoft.com/office/drawing/2014/chart" uri="{C3380CC4-5D6E-409C-BE32-E72D297353CC}">
              <c16:uniqueId val="{0000000C-A8BA-3241-B741-B8BF183A19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Furosemide dose third day of admission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noFill/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256-3A48-9984-C53CBC7C702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256-3A48-9984-C53CBC7C702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256-3A48-9984-C53CBC7C702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256-3A48-9984-C53CBC7C702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256-3A48-9984-C53CBC7C702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256-3A48-9984-C53CBC7C702B}"/>
              </c:ext>
            </c:extLst>
          </c:dPt>
          <c:cat>
            <c:strLit>
              <c:ptCount val="6"/>
              <c:pt idx="1">
                <c:v>0</c:v>
              </c:pt>
              <c:pt idx="2">
                <c:v>0-60</c:v>
              </c:pt>
              <c:pt idx="3">
                <c:v>60-125</c:v>
              </c:pt>
              <c:pt idx="4">
                <c:v>125-250</c:v>
              </c:pt>
              <c:pt idx="5">
                <c:v>&gt;250</c:v>
              </c:pt>
            </c:strLit>
          </c:cat>
          <c:val>
            <c:numLit>
              <c:formatCode>General</c:formatCode>
              <c:ptCount val="6"/>
              <c:pt idx="0">
                <c:v>0</c:v>
              </c:pt>
              <c:pt idx="1">
                <c:v>5</c:v>
              </c:pt>
              <c:pt idx="2">
                <c:v>44</c:v>
              </c:pt>
              <c:pt idx="3">
                <c:v>26</c:v>
              </c:pt>
              <c:pt idx="4">
                <c:v>9</c:v>
              </c:pt>
              <c:pt idx="5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C-B256-3A48-9984-C53CBC7C70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Furosemide dose second day of admission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noFill/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2A3-B541-A9E7-3929A5CBD3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2A3-B541-A9E7-3929A5CBD3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2A3-B541-A9E7-3929A5CBD36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2A3-B541-A9E7-3929A5CBD36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2A3-B541-A9E7-3929A5CBD36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2A3-B541-A9E7-3929A5CBD368}"/>
              </c:ext>
            </c:extLst>
          </c:dPt>
          <c:cat>
            <c:strLit>
              <c:ptCount val="6"/>
              <c:pt idx="1">
                <c:v>0</c:v>
              </c:pt>
              <c:pt idx="2">
                <c:v>0-60</c:v>
              </c:pt>
              <c:pt idx="3">
                <c:v>60-125</c:v>
              </c:pt>
              <c:pt idx="4">
                <c:v>125-250</c:v>
              </c:pt>
              <c:pt idx="5">
                <c:v>&gt;250</c:v>
              </c:pt>
            </c:strLit>
          </c:cat>
          <c:val>
            <c:numLit>
              <c:formatCode>General</c:formatCode>
              <c:ptCount val="6"/>
              <c:pt idx="0">
                <c:v>0</c:v>
              </c:pt>
              <c:pt idx="1">
                <c:v>2</c:v>
              </c:pt>
              <c:pt idx="2">
                <c:v>24</c:v>
              </c:pt>
              <c:pt idx="3">
                <c:v>36</c:v>
              </c:pt>
              <c:pt idx="4">
                <c:v>20</c:v>
              </c:pt>
              <c:pt idx="5">
                <c:v>6</c:v>
              </c:pt>
            </c:numLit>
          </c:val>
          <c:extLst>
            <c:ext xmlns:c16="http://schemas.microsoft.com/office/drawing/2014/chart" uri="{C3380CC4-5D6E-409C-BE32-E72D297353CC}">
              <c16:uniqueId val="{0000000C-C2A3-B541-A9E7-3929A5CBD3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f+s+PCxaQHOECSJZlGd2PG1ZFA==">CgMxLjA4AHIhMTlLbEtUTWJscllyQXJrTkMyaThVWEJrTWowUW50MHBs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2023-10-01T12:00:00Z</dcterms:created>
</cp:coreProperties>
</file>