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02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00"/>
        <w:gridCol w:w="971"/>
        <w:gridCol w:w="1086"/>
        <w:gridCol w:w="971"/>
        <w:gridCol w:w="857"/>
        <w:gridCol w:w="971"/>
        <w:gridCol w:w="857"/>
        <w:gridCol w:w="971"/>
        <w:gridCol w:w="1086"/>
        <w:gridCol w:w="1450"/>
      </w:tblGrid>
      <w:tr w:rsidR="004C0D98" w:rsidRPr="001336D9" w14:paraId="4DA91126" w14:textId="77777777" w:rsidTr="004C0D98">
        <w:trPr>
          <w:trHeight w:val="345"/>
        </w:trPr>
        <w:tc>
          <w:tcPr>
            <w:tcW w:w="11020" w:type="dxa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3B2FE3" w14:textId="017197FB" w:rsidR="004C0D98" w:rsidRPr="001336D9" w:rsidRDefault="004C0D98" w:rsidP="004C0D98">
            <w:pPr>
              <w:widowControl/>
              <w:rPr>
                <w:rFonts w:ascii="Calibri" w:eastAsia="新細明體" w:hAnsi="Calibri" w:cs="Calibri"/>
                <w:b/>
                <w:bCs/>
                <w:color w:val="000000"/>
                <w:kern w:val="0"/>
                <w:szCs w:val="24"/>
              </w:rPr>
            </w:pPr>
            <w:r w:rsidRPr="001336D9">
              <w:rPr>
                <w:rFonts w:ascii="Calibri" w:eastAsia="新細明體" w:hAnsi="Calibri" w:cs="Calibri"/>
                <w:b/>
                <w:bCs/>
                <w:color w:val="000000"/>
                <w:kern w:val="0"/>
                <w:szCs w:val="24"/>
              </w:rPr>
              <w:t>Supplemental Table 1.</w:t>
            </w:r>
            <w:r w:rsidR="001336D9" w:rsidRPr="001336D9">
              <w:rPr>
                <w:rFonts w:ascii="Calibri" w:eastAsia="新細明體" w:hAnsi="Calibri" w:cs="Calibri"/>
                <w:b/>
                <w:bCs/>
                <w:color w:val="000000"/>
                <w:kern w:val="0"/>
                <w:szCs w:val="24"/>
              </w:rPr>
              <w:t xml:space="preserve"> </w:t>
            </w:r>
            <w:r w:rsidRPr="001336D9">
              <w:rPr>
                <w:rFonts w:ascii="Calibri" w:eastAsia="新細明體" w:hAnsi="Calibri" w:cs="Calibri"/>
                <w:b/>
                <w:bCs/>
                <w:color w:val="000000"/>
                <w:kern w:val="0"/>
                <w:szCs w:val="24"/>
              </w:rPr>
              <w:t xml:space="preserve">The </w:t>
            </w:r>
            <w:r w:rsidR="001336D9" w:rsidRPr="001336D9">
              <w:rPr>
                <w:rFonts w:cstheme="minorHAnsi"/>
                <w:b/>
                <w:bCs/>
                <w:color w:val="0000FF"/>
                <w:szCs w:val="24"/>
              </w:rPr>
              <w:t xml:space="preserve">development of </w:t>
            </w:r>
            <w:r w:rsidRPr="001336D9">
              <w:rPr>
                <w:rFonts w:ascii="Calibri" w:eastAsia="新細明體" w:hAnsi="Calibri" w:cs="Calibri"/>
                <w:b/>
                <w:bCs/>
                <w:color w:val="000000"/>
                <w:kern w:val="0"/>
                <w:szCs w:val="24"/>
              </w:rPr>
              <w:t>prostate cancer in TPMI categorized with PRS (PGS000662).</w:t>
            </w:r>
          </w:p>
        </w:tc>
      </w:tr>
      <w:tr w:rsidR="004C0D98" w:rsidRPr="004C0D98" w14:paraId="221D3D34" w14:textId="77777777" w:rsidTr="004C0D98">
        <w:trPr>
          <w:trHeight w:val="345"/>
        </w:trPr>
        <w:tc>
          <w:tcPr>
            <w:tcW w:w="180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A03B80B" w14:textId="77777777" w:rsidR="004C0D98" w:rsidRPr="004C0D98" w:rsidRDefault="004C0D98" w:rsidP="004C0D98">
            <w:pPr>
              <w:widowControl/>
              <w:rPr>
                <w:rFonts w:ascii="Calibri" w:eastAsia="新細明體" w:hAnsi="Calibri" w:cs="Calibri"/>
                <w:b/>
                <w:bCs/>
                <w:color w:val="000000"/>
                <w:kern w:val="0"/>
                <w:szCs w:val="24"/>
              </w:rPr>
            </w:pPr>
            <w:r w:rsidRPr="004C0D98">
              <w:rPr>
                <w:rFonts w:ascii="Calibri" w:eastAsia="新細明體" w:hAnsi="Calibri" w:cs="Calibri"/>
                <w:b/>
                <w:bCs/>
                <w:color w:val="000000"/>
                <w:kern w:val="0"/>
                <w:szCs w:val="24"/>
              </w:rPr>
              <w:t>Variables</w:t>
            </w:r>
          </w:p>
        </w:tc>
        <w:tc>
          <w:tcPr>
            <w:tcW w:w="7770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B864A6" w14:textId="77777777" w:rsidR="004C0D98" w:rsidRPr="004C0D98" w:rsidRDefault="004C0D98" w:rsidP="004C0D98">
            <w:pPr>
              <w:widowControl/>
              <w:jc w:val="center"/>
              <w:rPr>
                <w:rFonts w:ascii="Calibri" w:eastAsia="新細明體" w:hAnsi="Calibri" w:cs="Calibri"/>
                <w:b/>
                <w:bCs/>
                <w:color w:val="000000"/>
                <w:kern w:val="0"/>
                <w:szCs w:val="24"/>
              </w:rPr>
            </w:pPr>
            <w:r w:rsidRPr="004C0D98">
              <w:rPr>
                <w:rFonts w:ascii="Calibri" w:eastAsia="新細明體" w:hAnsi="Calibri" w:cs="Calibri"/>
                <w:b/>
                <w:bCs/>
                <w:color w:val="000000"/>
                <w:kern w:val="0"/>
                <w:szCs w:val="24"/>
              </w:rPr>
              <w:t xml:space="preserve">Quartile of polygenic risk score (PGS000662) </w:t>
            </w:r>
          </w:p>
        </w:tc>
        <w:tc>
          <w:tcPr>
            <w:tcW w:w="145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BFA084C" w14:textId="605ABC3D" w:rsidR="004C0D98" w:rsidRPr="004C0D98" w:rsidRDefault="004C0D98" w:rsidP="004C0D98">
            <w:pPr>
              <w:widowControl/>
              <w:jc w:val="center"/>
              <w:rPr>
                <w:rFonts w:ascii="Calibri" w:eastAsia="新細明體" w:hAnsi="Calibri" w:cs="Calibri"/>
                <w:b/>
                <w:bCs/>
                <w:color w:val="000000"/>
                <w:kern w:val="0"/>
                <w:szCs w:val="24"/>
              </w:rPr>
            </w:pPr>
            <w:r w:rsidRPr="00E80BA9">
              <w:rPr>
                <w:rFonts w:ascii="Calibri" w:eastAsia="新細明體" w:hAnsi="Calibri" w:cs="Calibri"/>
                <w:b/>
                <w:bCs/>
                <w:i/>
                <w:iCs/>
                <w:color w:val="000000"/>
                <w:kern w:val="0"/>
                <w:szCs w:val="24"/>
              </w:rPr>
              <w:t>P</w:t>
            </w:r>
            <w:r w:rsidR="00E80BA9">
              <w:rPr>
                <w:rFonts w:ascii="Calibri" w:eastAsia="新細明體" w:hAnsi="Calibri" w:cs="Calibri"/>
                <w:b/>
                <w:bCs/>
                <w:color w:val="000000"/>
                <w:kern w:val="0"/>
                <w:szCs w:val="24"/>
              </w:rPr>
              <w:t xml:space="preserve"> </w:t>
            </w:r>
            <w:r w:rsidRPr="004C0D98">
              <w:rPr>
                <w:rFonts w:ascii="Calibri" w:eastAsia="新細明體" w:hAnsi="Calibri" w:cs="Calibri"/>
                <w:b/>
                <w:bCs/>
                <w:color w:val="000000"/>
                <w:kern w:val="0"/>
                <w:szCs w:val="24"/>
              </w:rPr>
              <w:t>value</w:t>
            </w:r>
          </w:p>
        </w:tc>
      </w:tr>
      <w:tr w:rsidR="004C0D98" w:rsidRPr="004C0D98" w14:paraId="3BCBDD77" w14:textId="77777777" w:rsidTr="004C0D98">
        <w:trPr>
          <w:trHeight w:val="345"/>
        </w:trPr>
        <w:tc>
          <w:tcPr>
            <w:tcW w:w="18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6C1B574" w14:textId="77777777" w:rsidR="004C0D98" w:rsidRPr="004C0D98" w:rsidRDefault="004C0D98" w:rsidP="004C0D98">
            <w:pPr>
              <w:widowControl/>
              <w:rPr>
                <w:rFonts w:ascii="Calibri" w:eastAsia="新細明體" w:hAnsi="Calibri" w:cs="Calibri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205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5AFA81" w14:textId="77777777" w:rsidR="004C0D98" w:rsidRPr="004C0D98" w:rsidRDefault="004C0D98" w:rsidP="004C0D98">
            <w:pPr>
              <w:widowControl/>
              <w:jc w:val="center"/>
              <w:rPr>
                <w:rFonts w:ascii="Calibri" w:eastAsia="新細明體" w:hAnsi="Calibri" w:cs="Calibri"/>
                <w:b/>
                <w:bCs/>
                <w:color w:val="000000"/>
                <w:kern w:val="0"/>
                <w:szCs w:val="24"/>
              </w:rPr>
            </w:pPr>
            <w:r w:rsidRPr="004C0D98">
              <w:rPr>
                <w:rFonts w:ascii="Calibri" w:eastAsia="新細明體" w:hAnsi="Calibri" w:cs="Calibri"/>
                <w:b/>
                <w:bCs/>
                <w:color w:val="000000"/>
                <w:kern w:val="0"/>
                <w:szCs w:val="24"/>
              </w:rPr>
              <w:t>Q1 (n =6194)</w:t>
            </w:r>
          </w:p>
        </w:tc>
        <w:tc>
          <w:tcPr>
            <w:tcW w:w="182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491F20" w14:textId="77777777" w:rsidR="004C0D98" w:rsidRPr="004C0D98" w:rsidRDefault="004C0D98" w:rsidP="004C0D98">
            <w:pPr>
              <w:widowControl/>
              <w:jc w:val="center"/>
              <w:rPr>
                <w:rFonts w:ascii="Calibri" w:eastAsia="新細明體" w:hAnsi="Calibri" w:cs="Calibri"/>
                <w:b/>
                <w:bCs/>
                <w:color w:val="000000"/>
                <w:kern w:val="0"/>
                <w:szCs w:val="24"/>
              </w:rPr>
            </w:pPr>
            <w:r w:rsidRPr="004C0D98">
              <w:rPr>
                <w:rFonts w:ascii="Calibri" w:eastAsia="新細明體" w:hAnsi="Calibri" w:cs="Calibri"/>
                <w:b/>
                <w:bCs/>
                <w:color w:val="000000"/>
                <w:kern w:val="0"/>
                <w:szCs w:val="24"/>
              </w:rPr>
              <w:t>Q2 (n =6195)</w:t>
            </w:r>
          </w:p>
        </w:tc>
        <w:tc>
          <w:tcPr>
            <w:tcW w:w="182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3BD68F" w14:textId="77777777" w:rsidR="004C0D98" w:rsidRPr="004C0D98" w:rsidRDefault="004C0D98" w:rsidP="004C0D98">
            <w:pPr>
              <w:widowControl/>
              <w:jc w:val="center"/>
              <w:rPr>
                <w:rFonts w:ascii="Calibri" w:eastAsia="新細明體" w:hAnsi="Calibri" w:cs="Calibri"/>
                <w:b/>
                <w:bCs/>
                <w:color w:val="000000"/>
                <w:kern w:val="0"/>
                <w:szCs w:val="24"/>
              </w:rPr>
            </w:pPr>
            <w:r w:rsidRPr="004C0D98">
              <w:rPr>
                <w:rFonts w:ascii="Calibri" w:eastAsia="新細明體" w:hAnsi="Calibri" w:cs="Calibri"/>
                <w:b/>
                <w:bCs/>
                <w:color w:val="000000"/>
                <w:kern w:val="0"/>
                <w:szCs w:val="24"/>
              </w:rPr>
              <w:t>Q3 (n =6195)</w:t>
            </w:r>
          </w:p>
        </w:tc>
        <w:tc>
          <w:tcPr>
            <w:tcW w:w="205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A2EDD0" w14:textId="77777777" w:rsidR="004C0D98" w:rsidRPr="004C0D98" w:rsidRDefault="004C0D98" w:rsidP="004C0D98">
            <w:pPr>
              <w:widowControl/>
              <w:jc w:val="center"/>
              <w:rPr>
                <w:rFonts w:ascii="Calibri" w:eastAsia="新細明體" w:hAnsi="Calibri" w:cs="Calibri"/>
                <w:b/>
                <w:bCs/>
                <w:color w:val="000000"/>
                <w:kern w:val="0"/>
                <w:szCs w:val="24"/>
              </w:rPr>
            </w:pPr>
            <w:r w:rsidRPr="004C0D98">
              <w:rPr>
                <w:rFonts w:ascii="Calibri" w:eastAsia="新細明體" w:hAnsi="Calibri" w:cs="Calibri"/>
                <w:b/>
                <w:bCs/>
                <w:color w:val="000000"/>
                <w:kern w:val="0"/>
                <w:szCs w:val="24"/>
              </w:rPr>
              <w:t>Q4 (n = 6194)</w:t>
            </w:r>
          </w:p>
        </w:tc>
        <w:tc>
          <w:tcPr>
            <w:tcW w:w="145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08A1171" w14:textId="77777777" w:rsidR="004C0D98" w:rsidRPr="004C0D98" w:rsidRDefault="004C0D98" w:rsidP="004C0D98">
            <w:pPr>
              <w:widowControl/>
              <w:rPr>
                <w:rFonts w:ascii="Calibri" w:eastAsia="新細明體" w:hAnsi="Calibri" w:cs="Calibri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4C0D98" w:rsidRPr="004C0D98" w14:paraId="25535860" w14:textId="77777777" w:rsidTr="004C0D98">
        <w:trPr>
          <w:trHeight w:val="330"/>
        </w:trPr>
        <w:tc>
          <w:tcPr>
            <w:tcW w:w="2771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BE7AA" w14:textId="77777777" w:rsidR="004C0D98" w:rsidRPr="004C0D98" w:rsidRDefault="004C0D98" w:rsidP="004C0D98">
            <w:pPr>
              <w:widowControl/>
              <w:rPr>
                <w:rFonts w:ascii="Calibri" w:eastAsia="新細明體" w:hAnsi="Calibri" w:cs="Calibri"/>
                <w:color w:val="000000"/>
                <w:kern w:val="0"/>
                <w:szCs w:val="24"/>
              </w:rPr>
            </w:pPr>
            <w:r w:rsidRPr="004C0D9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Prostate cancer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31888" w14:textId="77777777" w:rsidR="004C0D98" w:rsidRPr="004C0D98" w:rsidRDefault="004C0D98" w:rsidP="004C0D98">
            <w:pPr>
              <w:widowControl/>
              <w:rPr>
                <w:rFonts w:ascii="Calibri" w:eastAsia="新細明體" w:hAnsi="Calibri" w:cs="Calibri"/>
                <w:color w:val="000000"/>
                <w:kern w:val="0"/>
                <w:szCs w:val="24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106F5" w14:textId="77777777" w:rsidR="004C0D98" w:rsidRPr="004C0D98" w:rsidRDefault="004C0D98" w:rsidP="004C0D9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4878C" w14:textId="77777777" w:rsidR="004C0D98" w:rsidRPr="004C0D98" w:rsidRDefault="004C0D98" w:rsidP="004C0D9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0D595" w14:textId="77777777" w:rsidR="004C0D98" w:rsidRPr="004C0D98" w:rsidRDefault="004C0D98" w:rsidP="004C0D9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EA4A8" w14:textId="77777777" w:rsidR="004C0D98" w:rsidRPr="004C0D98" w:rsidRDefault="004C0D98" w:rsidP="004C0D9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FBC5E" w14:textId="77777777" w:rsidR="004C0D98" w:rsidRPr="004C0D98" w:rsidRDefault="004C0D98" w:rsidP="004C0D9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A1506" w14:textId="77777777" w:rsidR="004C0D98" w:rsidRPr="004C0D98" w:rsidRDefault="004C0D98" w:rsidP="004C0D9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56DD6" w14:textId="77777777" w:rsidR="004C0D98" w:rsidRPr="004C0D98" w:rsidRDefault="004C0D98" w:rsidP="004C0D98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Cs w:val="24"/>
              </w:rPr>
            </w:pPr>
            <w:r w:rsidRPr="004C0D9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&lt;.0001</w:t>
            </w:r>
          </w:p>
        </w:tc>
      </w:tr>
      <w:tr w:rsidR="004C0D98" w:rsidRPr="004C0D98" w14:paraId="4223B6E7" w14:textId="77777777" w:rsidTr="004C0D98">
        <w:trPr>
          <w:trHeight w:val="33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2261C" w14:textId="77777777" w:rsidR="004C0D98" w:rsidRPr="004C0D98" w:rsidRDefault="004C0D98" w:rsidP="004C0D98">
            <w:pPr>
              <w:widowControl/>
              <w:ind w:firstLineChars="100" w:firstLine="240"/>
              <w:rPr>
                <w:rFonts w:ascii="Calibri" w:eastAsia="新細明體" w:hAnsi="Calibri" w:cs="Calibri"/>
                <w:color w:val="000000"/>
                <w:kern w:val="0"/>
                <w:szCs w:val="24"/>
              </w:rPr>
            </w:pPr>
            <w:r w:rsidRPr="004C0D9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no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CB25F" w14:textId="77777777" w:rsidR="004C0D98" w:rsidRPr="004C0D98" w:rsidRDefault="004C0D98" w:rsidP="004C0D98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Cs w:val="24"/>
              </w:rPr>
            </w:pPr>
            <w:r w:rsidRPr="004C0D9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 xml:space="preserve">6044 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3DB2C" w14:textId="77777777" w:rsidR="004C0D98" w:rsidRPr="004C0D98" w:rsidRDefault="004C0D98" w:rsidP="004C0D98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Cs w:val="24"/>
              </w:rPr>
            </w:pPr>
            <w:r w:rsidRPr="004C0D9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 xml:space="preserve">97.58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C2026" w14:textId="77777777" w:rsidR="004C0D98" w:rsidRPr="004C0D98" w:rsidRDefault="004C0D98" w:rsidP="004C0D98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Cs w:val="24"/>
              </w:rPr>
            </w:pPr>
            <w:r w:rsidRPr="004C0D9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 xml:space="preserve">5953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9FA57" w14:textId="77777777" w:rsidR="004C0D98" w:rsidRPr="004C0D98" w:rsidRDefault="004C0D98" w:rsidP="004C0D98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Cs w:val="24"/>
              </w:rPr>
            </w:pPr>
            <w:r w:rsidRPr="004C0D9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 xml:space="preserve">96.1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5BFB7" w14:textId="77777777" w:rsidR="004C0D98" w:rsidRPr="004C0D98" w:rsidRDefault="004C0D98" w:rsidP="004C0D98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Cs w:val="24"/>
              </w:rPr>
            </w:pPr>
            <w:r w:rsidRPr="004C0D9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 xml:space="preserve">5814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881D6" w14:textId="77777777" w:rsidR="004C0D98" w:rsidRPr="004C0D98" w:rsidRDefault="004C0D98" w:rsidP="004C0D98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Cs w:val="24"/>
              </w:rPr>
            </w:pPr>
            <w:r w:rsidRPr="004C0D9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 xml:space="preserve">93.9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9A49F" w14:textId="77777777" w:rsidR="004C0D98" w:rsidRPr="004C0D98" w:rsidRDefault="004C0D98" w:rsidP="004C0D98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Cs w:val="24"/>
              </w:rPr>
            </w:pPr>
            <w:r w:rsidRPr="004C0D9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 xml:space="preserve">5511 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D1760" w14:textId="77777777" w:rsidR="004C0D98" w:rsidRPr="004C0D98" w:rsidRDefault="004C0D98" w:rsidP="004C0D98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Cs w:val="24"/>
              </w:rPr>
            </w:pPr>
            <w:r w:rsidRPr="004C0D9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 xml:space="preserve">89.0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6BB7E" w14:textId="77777777" w:rsidR="004C0D98" w:rsidRPr="004C0D98" w:rsidRDefault="004C0D98" w:rsidP="004C0D98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Cs w:val="24"/>
              </w:rPr>
            </w:pPr>
          </w:p>
        </w:tc>
      </w:tr>
      <w:tr w:rsidR="004C0D98" w:rsidRPr="004C0D98" w14:paraId="4C5BFF9C" w14:textId="77777777" w:rsidTr="004C0D98">
        <w:trPr>
          <w:trHeight w:val="345"/>
        </w:trPr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2C857F" w14:textId="77777777" w:rsidR="004C0D98" w:rsidRPr="004C0D98" w:rsidRDefault="004C0D98" w:rsidP="004C0D98">
            <w:pPr>
              <w:widowControl/>
              <w:ind w:firstLineChars="100" w:firstLine="240"/>
              <w:rPr>
                <w:rFonts w:ascii="Calibri" w:eastAsia="新細明體" w:hAnsi="Calibri" w:cs="Calibri"/>
                <w:color w:val="000000"/>
                <w:kern w:val="0"/>
                <w:szCs w:val="24"/>
              </w:rPr>
            </w:pPr>
            <w:r w:rsidRPr="004C0D9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yes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0A4137" w14:textId="77777777" w:rsidR="004C0D98" w:rsidRPr="004C0D98" w:rsidRDefault="004C0D98" w:rsidP="004C0D98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Cs w:val="24"/>
              </w:rPr>
            </w:pPr>
            <w:r w:rsidRPr="004C0D9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 xml:space="preserve">150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7499FF" w14:textId="77777777" w:rsidR="004C0D98" w:rsidRPr="004C0D98" w:rsidRDefault="004C0D98" w:rsidP="004C0D98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Cs w:val="24"/>
              </w:rPr>
            </w:pPr>
            <w:r w:rsidRPr="004C0D9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 xml:space="preserve">2.42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449C43" w14:textId="77777777" w:rsidR="004C0D98" w:rsidRPr="004C0D98" w:rsidRDefault="004C0D98" w:rsidP="004C0D98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Cs w:val="24"/>
              </w:rPr>
            </w:pPr>
            <w:r w:rsidRPr="004C0D9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 xml:space="preserve">242 </w:t>
            </w:r>
          </w:p>
        </w:tc>
        <w:tc>
          <w:tcPr>
            <w:tcW w:w="8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2B7AE6" w14:textId="77777777" w:rsidR="004C0D98" w:rsidRPr="004C0D98" w:rsidRDefault="004C0D98" w:rsidP="004C0D98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Cs w:val="24"/>
              </w:rPr>
            </w:pPr>
            <w:r w:rsidRPr="004C0D9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 xml:space="preserve">3.91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16AB1D" w14:textId="77777777" w:rsidR="004C0D98" w:rsidRPr="004C0D98" w:rsidRDefault="004C0D98" w:rsidP="004C0D98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Cs w:val="24"/>
              </w:rPr>
            </w:pPr>
            <w:r w:rsidRPr="004C0D9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 xml:space="preserve">381 </w:t>
            </w:r>
          </w:p>
        </w:tc>
        <w:tc>
          <w:tcPr>
            <w:tcW w:w="8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AF3E31" w14:textId="77777777" w:rsidR="004C0D98" w:rsidRPr="004C0D98" w:rsidRDefault="004C0D98" w:rsidP="004C0D98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Cs w:val="24"/>
              </w:rPr>
            </w:pPr>
            <w:r w:rsidRPr="004C0D9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 xml:space="preserve">6.15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F1C2A7" w14:textId="77777777" w:rsidR="004C0D98" w:rsidRPr="004C0D98" w:rsidRDefault="004C0D98" w:rsidP="004C0D98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Cs w:val="24"/>
              </w:rPr>
            </w:pPr>
            <w:r w:rsidRPr="004C0D9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 xml:space="preserve">683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C56D3D" w14:textId="77777777" w:rsidR="004C0D98" w:rsidRPr="004C0D98" w:rsidRDefault="004C0D98" w:rsidP="004C0D98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Cs w:val="24"/>
              </w:rPr>
            </w:pPr>
            <w:r w:rsidRPr="004C0D9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 xml:space="preserve">11.03 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FC9E91" w14:textId="77777777" w:rsidR="004C0D98" w:rsidRPr="004C0D98" w:rsidRDefault="004C0D98" w:rsidP="004C0D98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  <w:szCs w:val="24"/>
              </w:rPr>
            </w:pPr>
            <w:r w:rsidRPr="004C0D9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4C0D98" w:rsidRPr="004C0D98" w14:paraId="2E7033F1" w14:textId="77777777" w:rsidTr="004C0D98">
        <w:trPr>
          <w:trHeight w:val="360"/>
        </w:trPr>
        <w:tc>
          <w:tcPr>
            <w:tcW w:w="848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9E2D6" w14:textId="77777777" w:rsidR="004C0D98" w:rsidRPr="004C0D98" w:rsidRDefault="004C0D98" w:rsidP="004C0D98">
            <w:pPr>
              <w:widowControl/>
              <w:rPr>
                <w:rFonts w:ascii="Calibri" w:eastAsia="新細明體" w:hAnsi="Calibri" w:cs="Calibri"/>
                <w:color w:val="000000"/>
                <w:kern w:val="0"/>
                <w:szCs w:val="24"/>
              </w:rPr>
            </w:pPr>
            <w:r w:rsidRPr="004C0D98">
              <w:rPr>
                <w:rFonts w:ascii="Calibri" w:eastAsia="新細明體" w:hAnsi="Calibri" w:cs="Calibri"/>
                <w:color w:val="000000"/>
                <w:kern w:val="0"/>
                <w:szCs w:val="24"/>
                <w:vertAlign w:val="superscript"/>
              </w:rPr>
              <w:t>a</w:t>
            </w:r>
            <w:r w:rsidRPr="004C0D9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 xml:space="preserve"> Comparisons of categorical variables were analyzed using the Chi-square test.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FD314" w14:textId="77777777" w:rsidR="004C0D98" w:rsidRPr="004C0D98" w:rsidRDefault="004C0D98" w:rsidP="004C0D98">
            <w:pPr>
              <w:widowControl/>
              <w:rPr>
                <w:rFonts w:ascii="Calibri" w:eastAsia="新細明體" w:hAnsi="Calibri" w:cs="Calibri"/>
                <w:color w:val="000000"/>
                <w:kern w:val="0"/>
                <w:szCs w:val="24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18DF8" w14:textId="77777777" w:rsidR="004C0D98" w:rsidRPr="004C0D98" w:rsidRDefault="004C0D98" w:rsidP="004C0D9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C0D98" w:rsidRPr="004C0D98" w14:paraId="194034A6" w14:textId="77777777" w:rsidTr="004C0D98">
        <w:trPr>
          <w:trHeight w:val="330"/>
        </w:trPr>
        <w:tc>
          <w:tcPr>
            <w:tcW w:w="110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57E04" w14:textId="59CA86FC" w:rsidR="004C0D98" w:rsidRPr="004C0D98" w:rsidRDefault="004C0D98" w:rsidP="004C0D9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5C19DB">
              <w:rPr>
                <w:rFonts w:ascii="Calibri" w:eastAsia="新細明體" w:hAnsi="Calibri" w:cs="Calibri" w:hint="eastAsia"/>
                <w:color w:val="000000"/>
                <w:kern w:val="0"/>
                <w:szCs w:val="24"/>
                <w:vertAlign w:val="superscript"/>
              </w:rPr>
              <w:t>b</w:t>
            </w:r>
            <w:r w:rsidR="005C19DB">
              <w:rPr>
                <w:rFonts w:ascii="Calibri" w:eastAsia="新細明體" w:hAnsi="Calibri" w:cs="Calibri"/>
                <w:color w:val="000000"/>
                <w:kern w:val="0"/>
                <w:szCs w:val="24"/>
                <w:vertAlign w:val="superscript"/>
              </w:rPr>
              <w:t xml:space="preserve"> </w:t>
            </w:r>
            <w:r w:rsidR="005C19DB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 xml:space="preserve">TPMI, </w:t>
            </w:r>
            <w:r w:rsidR="00C277F1" w:rsidRPr="00507956">
              <w:t>Taiwan Precision Medicine Initiative</w:t>
            </w:r>
            <w:r w:rsidR="00C277F1">
              <w:t>; PRS, polygenic risk score</w:t>
            </w:r>
            <w:r w:rsidR="009D0030">
              <w:t>.</w:t>
            </w:r>
          </w:p>
        </w:tc>
      </w:tr>
    </w:tbl>
    <w:p w14:paraId="08535386" w14:textId="77777777" w:rsidR="00CA30D8" w:rsidRPr="004C0D98" w:rsidRDefault="00CA30D8"/>
    <w:sectPr w:rsidR="00CA30D8" w:rsidRPr="004C0D98" w:rsidSect="00D5793E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D16"/>
    <w:rsid w:val="001336D9"/>
    <w:rsid w:val="004C0D98"/>
    <w:rsid w:val="005C19DB"/>
    <w:rsid w:val="009D0030"/>
    <w:rsid w:val="00B64D16"/>
    <w:rsid w:val="00C277F1"/>
    <w:rsid w:val="00CA30D8"/>
    <w:rsid w:val="00D5793E"/>
    <w:rsid w:val="00E80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7BE4A"/>
  <w15:chartTrackingRefBased/>
  <w15:docId w15:val="{708EC1A0-694C-4A41-B450-EE620FAA2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512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ShengChun Hung</dc:creator>
  <cp:keywords/>
  <dc:description/>
  <cp:lastModifiedBy>I-Chieh Chen</cp:lastModifiedBy>
  <cp:revision>7</cp:revision>
  <dcterms:created xsi:type="dcterms:W3CDTF">2023-04-26T01:49:00Z</dcterms:created>
  <dcterms:modified xsi:type="dcterms:W3CDTF">2024-02-21T00:29:00Z</dcterms:modified>
</cp:coreProperties>
</file>