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C406E" w:rsidRPr="00BC406E" w:rsidRDefault="00BC406E" w:rsidP="00BC406E">
      <w:pPr>
        <w:rPr>
          <w:b/>
          <w:i/>
          <w:sz w:val="28"/>
        </w:rPr>
      </w:pPr>
      <w:r w:rsidRPr="00BC406E">
        <w:rPr>
          <w:b/>
          <w:i/>
          <w:sz w:val="28"/>
        </w:rPr>
        <w:t>Supporting information for</w:t>
      </w:r>
    </w:p>
    <w:p w:rsidR="00BC406E" w:rsidRDefault="00BC406E" w:rsidP="00BC406E">
      <w:pPr>
        <w:rPr>
          <w:b/>
          <w:sz w:val="32"/>
        </w:rPr>
      </w:pPr>
      <w:r>
        <w:rPr>
          <w:b/>
          <w:sz w:val="32"/>
        </w:rPr>
        <w:t xml:space="preserve">Diffuse reflectance spectroscopy and RGB-imaging: a comparative study of non-invasive </w:t>
      </w:r>
      <w:proofErr w:type="spellStart"/>
      <w:r>
        <w:rPr>
          <w:b/>
          <w:sz w:val="32"/>
        </w:rPr>
        <w:t>haemoglobin</w:t>
      </w:r>
      <w:proofErr w:type="spellEnd"/>
      <w:r>
        <w:rPr>
          <w:b/>
          <w:sz w:val="32"/>
        </w:rPr>
        <w:t xml:space="preserve"> assessment</w:t>
      </w:r>
    </w:p>
    <w:p w:rsidR="00BC406E" w:rsidRDefault="00BC406E" w:rsidP="00BC406E">
      <w:pPr>
        <w:rPr>
          <w:szCs w:val="20"/>
        </w:rPr>
      </w:pPr>
      <w:r>
        <w:rPr>
          <w:szCs w:val="20"/>
        </w:rPr>
        <w:t>Boris Yakimov</w:t>
      </w:r>
      <w:r>
        <w:rPr>
          <w:szCs w:val="20"/>
          <w:vertAlign w:val="superscript"/>
        </w:rPr>
        <w:t>1</w:t>
      </w:r>
      <w:proofErr w:type="gramStart"/>
      <w:r>
        <w:rPr>
          <w:szCs w:val="20"/>
          <w:vertAlign w:val="superscript"/>
        </w:rPr>
        <w:t>,2,3</w:t>
      </w:r>
      <w:proofErr w:type="gramEnd"/>
      <w:r>
        <w:rPr>
          <w:szCs w:val="20"/>
          <w:vertAlign w:val="superscript"/>
        </w:rPr>
        <w:t>,*</w:t>
      </w:r>
      <w:r>
        <w:rPr>
          <w:szCs w:val="20"/>
        </w:rPr>
        <w:t>, Kirill Buiankin</w:t>
      </w:r>
      <w:r>
        <w:rPr>
          <w:szCs w:val="20"/>
          <w:vertAlign w:val="superscript"/>
        </w:rPr>
        <w:t>1</w:t>
      </w:r>
      <w:r>
        <w:rPr>
          <w:szCs w:val="20"/>
        </w:rPr>
        <w:t xml:space="preserve">, </w:t>
      </w:r>
      <w:proofErr w:type="spellStart"/>
      <w:r>
        <w:rPr>
          <w:szCs w:val="20"/>
        </w:rPr>
        <w:t>Georgy</w:t>
      </w:r>
      <w:proofErr w:type="spellEnd"/>
      <w:r>
        <w:rPr>
          <w:szCs w:val="20"/>
        </w:rPr>
        <w:t xml:space="preserve"> Denisenko</w:t>
      </w:r>
      <w:r>
        <w:rPr>
          <w:szCs w:val="20"/>
          <w:vertAlign w:val="superscript"/>
        </w:rPr>
        <w:t>2,4</w:t>
      </w:r>
      <w:r>
        <w:rPr>
          <w:szCs w:val="20"/>
        </w:rPr>
        <w:t xml:space="preserve">, </w:t>
      </w:r>
      <w:proofErr w:type="spellStart"/>
      <w:r>
        <w:rPr>
          <w:szCs w:val="20"/>
        </w:rPr>
        <w:t>Yuliya</w:t>
      </w:r>
      <w:proofErr w:type="spellEnd"/>
      <w:r>
        <w:rPr>
          <w:szCs w:val="20"/>
        </w:rPr>
        <w:t xml:space="preserve"> Shitova</w:t>
      </w:r>
      <w:r>
        <w:rPr>
          <w:szCs w:val="20"/>
          <w:vertAlign w:val="superscript"/>
        </w:rPr>
        <w:t>5</w:t>
      </w:r>
      <w:r>
        <w:rPr>
          <w:szCs w:val="20"/>
        </w:rPr>
        <w:t xml:space="preserve">, </w:t>
      </w:r>
      <w:proofErr w:type="spellStart"/>
      <w:r>
        <w:rPr>
          <w:szCs w:val="20"/>
        </w:rPr>
        <w:t>Andrey</w:t>
      </w:r>
      <w:proofErr w:type="spellEnd"/>
      <w:r>
        <w:rPr>
          <w:szCs w:val="20"/>
        </w:rPr>
        <w:t xml:space="preserve"> Shkoda</w:t>
      </w:r>
      <w:r>
        <w:rPr>
          <w:szCs w:val="20"/>
          <w:vertAlign w:val="superscript"/>
        </w:rPr>
        <w:t>3</w:t>
      </w:r>
      <w:r>
        <w:rPr>
          <w:szCs w:val="20"/>
        </w:rPr>
        <w:t xml:space="preserve">, </w:t>
      </w:r>
      <w:proofErr w:type="spellStart"/>
      <w:r>
        <w:rPr>
          <w:szCs w:val="20"/>
        </w:rPr>
        <w:t>Evgeny</w:t>
      </w:r>
      <w:proofErr w:type="spellEnd"/>
      <w:r>
        <w:rPr>
          <w:szCs w:val="20"/>
        </w:rPr>
        <w:t xml:space="preserve"> Shirshin</w:t>
      </w:r>
      <w:r>
        <w:rPr>
          <w:szCs w:val="20"/>
          <w:vertAlign w:val="superscript"/>
        </w:rPr>
        <w:t xml:space="preserve">1,2,*    </w:t>
      </w:r>
    </w:p>
    <w:p w:rsidR="00BC406E" w:rsidRDefault="00BC406E" w:rsidP="00BC406E">
      <w:pPr>
        <w:spacing w:after="0" w:line="240" w:lineRule="auto"/>
        <w:rPr>
          <w:bCs/>
          <w:sz w:val="20"/>
          <w:szCs w:val="20"/>
        </w:rPr>
      </w:pPr>
      <w:r>
        <w:rPr>
          <w:bCs/>
          <w:sz w:val="20"/>
          <w:szCs w:val="20"/>
          <w:vertAlign w:val="superscript"/>
        </w:rPr>
        <w:t>1</w:t>
      </w:r>
      <w:r>
        <w:rPr>
          <w:bCs/>
          <w:sz w:val="20"/>
          <w:szCs w:val="20"/>
        </w:rPr>
        <w:t xml:space="preserve">Faculty of Physics, </w:t>
      </w:r>
      <w:proofErr w:type="spellStart"/>
      <w:r>
        <w:rPr>
          <w:bCs/>
          <w:sz w:val="20"/>
          <w:szCs w:val="20"/>
        </w:rPr>
        <w:t>M.V.Lomonosov</w:t>
      </w:r>
      <w:proofErr w:type="spellEnd"/>
      <w:r>
        <w:rPr>
          <w:bCs/>
          <w:sz w:val="20"/>
          <w:szCs w:val="20"/>
        </w:rPr>
        <w:t xml:space="preserve"> Moscow State University, 1-2 </w:t>
      </w:r>
      <w:proofErr w:type="spellStart"/>
      <w:r>
        <w:rPr>
          <w:bCs/>
          <w:sz w:val="20"/>
          <w:szCs w:val="20"/>
        </w:rPr>
        <w:t>Leninskie</w:t>
      </w:r>
      <w:proofErr w:type="spellEnd"/>
      <w:r>
        <w:rPr>
          <w:bCs/>
          <w:sz w:val="20"/>
          <w:szCs w:val="20"/>
        </w:rPr>
        <w:t xml:space="preserve"> Gory, 119234 Moscow, Russia</w:t>
      </w:r>
    </w:p>
    <w:p w:rsidR="00BC406E" w:rsidRDefault="00BC406E" w:rsidP="00BC406E">
      <w:pPr>
        <w:spacing w:after="0" w:line="240" w:lineRule="auto"/>
        <w:rPr>
          <w:bCs/>
          <w:sz w:val="20"/>
          <w:szCs w:val="20"/>
        </w:rPr>
      </w:pPr>
      <w:r>
        <w:rPr>
          <w:bCs/>
          <w:sz w:val="20"/>
          <w:szCs w:val="20"/>
          <w:vertAlign w:val="superscript"/>
        </w:rPr>
        <w:t>2</w:t>
      </w:r>
      <w:r>
        <w:rPr>
          <w:bCs/>
          <w:sz w:val="20"/>
          <w:szCs w:val="20"/>
        </w:rPr>
        <w:t xml:space="preserve">Laboratory of Clinical </w:t>
      </w:r>
      <w:proofErr w:type="spellStart"/>
      <w:r>
        <w:rPr>
          <w:bCs/>
          <w:sz w:val="20"/>
          <w:szCs w:val="20"/>
        </w:rPr>
        <w:t>Biophotonics</w:t>
      </w:r>
      <w:proofErr w:type="spellEnd"/>
      <w:r>
        <w:rPr>
          <w:bCs/>
          <w:sz w:val="20"/>
          <w:szCs w:val="20"/>
        </w:rPr>
        <w:t xml:space="preserve">, Biomedical Science and Technology Park, </w:t>
      </w:r>
      <w:proofErr w:type="spellStart"/>
      <w:r>
        <w:rPr>
          <w:bCs/>
          <w:sz w:val="20"/>
          <w:szCs w:val="20"/>
        </w:rPr>
        <w:t>Sechenov</w:t>
      </w:r>
      <w:proofErr w:type="spellEnd"/>
      <w:r>
        <w:rPr>
          <w:bCs/>
          <w:sz w:val="20"/>
          <w:szCs w:val="20"/>
        </w:rPr>
        <w:t xml:space="preserve"> First Moscow State Medical University, </w:t>
      </w:r>
      <w:proofErr w:type="spellStart"/>
      <w:r>
        <w:rPr>
          <w:bCs/>
          <w:sz w:val="20"/>
          <w:szCs w:val="20"/>
        </w:rPr>
        <w:t>Trubetskaya</w:t>
      </w:r>
      <w:proofErr w:type="spellEnd"/>
      <w:r>
        <w:rPr>
          <w:bCs/>
          <w:sz w:val="20"/>
          <w:szCs w:val="20"/>
        </w:rPr>
        <w:t xml:space="preserve"> 8, Moscow, 119048, Russia</w:t>
      </w:r>
    </w:p>
    <w:p w:rsidR="00BC406E" w:rsidRDefault="00BC406E" w:rsidP="00BC406E">
      <w:pPr>
        <w:spacing w:after="0" w:line="240" w:lineRule="auto"/>
        <w:rPr>
          <w:bCs/>
          <w:sz w:val="20"/>
          <w:szCs w:val="20"/>
        </w:rPr>
      </w:pPr>
      <w:r>
        <w:rPr>
          <w:bCs/>
          <w:sz w:val="20"/>
          <w:szCs w:val="20"/>
          <w:vertAlign w:val="superscript"/>
        </w:rPr>
        <w:t>3</w:t>
      </w:r>
      <w:r>
        <w:rPr>
          <w:bCs/>
          <w:sz w:val="20"/>
          <w:szCs w:val="20"/>
        </w:rPr>
        <w:t xml:space="preserve">Moscow State Budgetary Institution of Healthcare “L.A. </w:t>
      </w:r>
      <w:proofErr w:type="spellStart"/>
      <w:r>
        <w:rPr>
          <w:bCs/>
          <w:sz w:val="20"/>
          <w:szCs w:val="20"/>
        </w:rPr>
        <w:t>Vorohobov</w:t>
      </w:r>
      <w:proofErr w:type="spellEnd"/>
      <w:r>
        <w:rPr>
          <w:bCs/>
          <w:sz w:val="20"/>
          <w:szCs w:val="20"/>
        </w:rPr>
        <w:t xml:space="preserve"> City Clinical Hospital No. 67 MHD”, Moscow, </w:t>
      </w:r>
      <w:proofErr w:type="spellStart"/>
      <w:r>
        <w:rPr>
          <w:bCs/>
          <w:sz w:val="20"/>
          <w:szCs w:val="20"/>
        </w:rPr>
        <w:t>Salama</w:t>
      </w:r>
      <w:proofErr w:type="spellEnd"/>
      <w:r>
        <w:rPr>
          <w:bCs/>
          <w:sz w:val="20"/>
          <w:szCs w:val="20"/>
        </w:rPr>
        <w:t xml:space="preserve"> </w:t>
      </w:r>
      <w:proofErr w:type="spellStart"/>
      <w:r>
        <w:rPr>
          <w:bCs/>
          <w:sz w:val="20"/>
          <w:szCs w:val="20"/>
        </w:rPr>
        <w:t>Adil</w:t>
      </w:r>
      <w:proofErr w:type="spellEnd"/>
      <w:r>
        <w:rPr>
          <w:bCs/>
          <w:sz w:val="20"/>
          <w:szCs w:val="20"/>
        </w:rPr>
        <w:t xml:space="preserve"> str., 2/44, 123423, Russia</w:t>
      </w:r>
    </w:p>
    <w:p w:rsidR="00BC406E" w:rsidRDefault="00BC406E" w:rsidP="00BC406E">
      <w:pPr>
        <w:spacing w:after="0" w:line="240" w:lineRule="auto"/>
        <w:rPr>
          <w:bCs/>
          <w:sz w:val="20"/>
          <w:szCs w:val="20"/>
        </w:rPr>
      </w:pPr>
      <w:r>
        <w:rPr>
          <w:bCs/>
          <w:sz w:val="20"/>
          <w:szCs w:val="20"/>
          <w:vertAlign w:val="superscript"/>
        </w:rPr>
        <w:t>4</w:t>
      </w:r>
      <w:r>
        <w:rPr>
          <w:bCs/>
          <w:sz w:val="20"/>
          <w:szCs w:val="20"/>
        </w:rPr>
        <w:t xml:space="preserve">Institute for Regenerative Medicine, </w:t>
      </w:r>
      <w:proofErr w:type="spellStart"/>
      <w:r>
        <w:rPr>
          <w:bCs/>
          <w:sz w:val="20"/>
          <w:szCs w:val="20"/>
        </w:rPr>
        <w:t>Sechenov</w:t>
      </w:r>
      <w:proofErr w:type="spellEnd"/>
      <w:r>
        <w:rPr>
          <w:bCs/>
          <w:sz w:val="20"/>
          <w:szCs w:val="20"/>
        </w:rPr>
        <w:t xml:space="preserve"> First Moscow State Medical University (</w:t>
      </w:r>
      <w:proofErr w:type="spellStart"/>
      <w:r>
        <w:rPr>
          <w:bCs/>
          <w:sz w:val="20"/>
          <w:szCs w:val="20"/>
        </w:rPr>
        <w:t>Sechenov</w:t>
      </w:r>
      <w:proofErr w:type="spellEnd"/>
      <w:r>
        <w:rPr>
          <w:bCs/>
          <w:sz w:val="20"/>
          <w:szCs w:val="20"/>
        </w:rPr>
        <w:t xml:space="preserve"> University), Moscow 119991, Russia</w:t>
      </w:r>
    </w:p>
    <w:p w:rsidR="00BC406E" w:rsidRDefault="00BC406E" w:rsidP="00BC406E">
      <w:pPr>
        <w:spacing w:after="0" w:line="240" w:lineRule="auto"/>
        <w:rPr>
          <w:bCs/>
          <w:sz w:val="20"/>
          <w:szCs w:val="20"/>
        </w:rPr>
      </w:pPr>
      <w:r>
        <w:rPr>
          <w:bCs/>
          <w:sz w:val="20"/>
          <w:szCs w:val="20"/>
          <w:vertAlign w:val="superscript"/>
        </w:rPr>
        <w:t>5</w:t>
      </w:r>
      <w:r>
        <w:rPr>
          <w:bCs/>
          <w:sz w:val="20"/>
          <w:szCs w:val="20"/>
        </w:rPr>
        <w:t xml:space="preserve">Medeum LLC, </w:t>
      </w:r>
      <w:proofErr w:type="spellStart"/>
      <w:r>
        <w:rPr>
          <w:bCs/>
          <w:sz w:val="20"/>
          <w:szCs w:val="20"/>
        </w:rPr>
        <w:t>Vysokovoltny</w:t>
      </w:r>
      <w:proofErr w:type="spellEnd"/>
      <w:r>
        <w:rPr>
          <w:bCs/>
          <w:sz w:val="20"/>
          <w:szCs w:val="20"/>
        </w:rPr>
        <w:t xml:space="preserve"> </w:t>
      </w:r>
      <w:proofErr w:type="spellStart"/>
      <w:r>
        <w:rPr>
          <w:bCs/>
          <w:sz w:val="20"/>
          <w:szCs w:val="20"/>
        </w:rPr>
        <w:t>proezd</w:t>
      </w:r>
      <w:proofErr w:type="spellEnd"/>
      <w:r>
        <w:rPr>
          <w:bCs/>
          <w:sz w:val="20"/>
          <w:szCs w:val="20"/>
        </w:rPr>
        <w:t xml:space="preserve"> 1/20, Moscow, 127566, Russia</w:t>
      </w:r>
    </w:p>
    <w:p w:rsidR="00BC406E" w:rsidRDefault="00BC406E" w:rsidP="00BC406E">
      <w:pPr>
        <w:spacing w:after="0" w:line="240" w:lineRule="auto"/>
        <w:rPr>
          <w:rStyle w:val="a3"/>
          <w:rFonts w:cs="Arial"/>
          <w:sz w:val="20"/>
          <w:szCs w:val="20"/>
        </w:rPr>
      </w:pPr>
      <w:r>
        <w:rPr>
          <w:rFonts w:cs="Arial"/>
          <w:sz w:val="20"/>
          <w:szCs w:val="20"/>
        </w:rPr>
        <w:t xml:space="preserve">*Corresponding author. E-mail addresses: </w:t>
      </w:r>
      <w:r>
        <w:rPr>
          <w:sz w:val="20"/>
          <w:szCs w:val="20"/>
        </w:rPr>
        <w:t xml:space="preserve">Boris </w:t>
      </w:r>
      <w:proofErr w:type="spellStart"/>
      <w:r>
        <w:rPr>
          <w:sz w:val="20"/>
          <w:szCs w:val="20"/>
        </w:rPr>
        <w:t>Yakimov</w:t>
      </w:r>
      <w:proofErr w:type="spellEnd"/>
      <w:r>
        <w:rPr>
          <w:sz w:val="20"/>
          <w:szCs w:val="20"/>
        </w:rPr>
        <w:t xml:space="preserve"> (bp.jakimov@physics.msu.ru), </w:t>
      </w:r>
      <w:proofErr w:type="spellStart"/>
      <w:r>
        <w:rPr>
          <w:sz w:val="20"/>
          <w:szCs w:val="20"/>
        </w:rPr>
        <w:t>Evgeny</w:t>
      </w:r>
      <w:proofErr w:type="spellEnd"/>
      <w:r>
        <w:rPr>
          <w:sz w:val="20"/>
          <w:szCs w:val="20"/>
        </w:rPr>
        <w:t xml:space="preserve"> </w:t>
      </w:r>
      <w:proofErr w:type="spellStart"/>
      <w:r>
        <w:rPr>
          <w:sz w:val="20"/>
          <w:szCs w:val="20"/>
        </w:rPr>
        <w:t>Shirshin</w:t>
      </w:r>
      <w:proofErr w:type="spellEnd"/>
      <w:r>
        <w:rPr>
          <w:sz w:val="20"/>
          <w:szCs w:val="20"/>
        </w:rPr>
        <w:t xml:space="preserve"> (eshirshin@gmail.com)</w:t>
      </w:r>
    </w:p>
    <w:p w:rsidR="000A4655" w:rsidRDefault="000A4655"/>
    <w:p w:rsidR="00257E96" w:rsidRDefault="00D13749" w:rsidP="00257E96">
      <w:pPr>
        <w:pStyle w:val="1"/>
      </w:pPr>
      <w:r w:rsidRPr="00D13749">
        <w:t>Section S1. Evaluation of melanin interference on the blood</w:t>
      </w:r>
      <w:r>
        <w:t xml:space="preserve"> </w:t>
      </w:r>
      <w:proofErr w:type="spellStart"/>
      <w:r>
        <w:t>Hb</w:t>
      </w:r>
      <w:proofErr w:type="spellEnd"/>
      <w:r>
        <w:t xml:space="preserve"> assessment</w:t>
      </w:r>
    </w:p>
    <w:p w:rsidR="00D13749" w:rsidRPr="00D13749" w:rsidRDefault="00D13749" w:rsidP="00D13749">
      <w:r>
        <w:t>M</w:t>
      </w:r>
      <w:r w:rsidRPr="00D13749">
        <w:t xml:space="preserve">elanin is </w:t>
      </w:r>
      <w:r>
        <w:t xml:space="preserve">another </w:t>
      </w:r>
      <w:r w:rsidRPr="00D13749">
        <w:t>dominant chromophore that</w:t>
      </w:r>
      <w:r>
        <w:t xml:space="preserve">, besides </w:t>
      </w:r>
      <w:proofErr w:type="spellStart"/>
      <w:r>
        <w:t>haemoglobin</w:t>
      </w:r>
      <w:proofErr w:type="spellEnd"/>
      <w:r>
        <w:t>,</w:t>
      </w:r>
      <w:r w:rsidRPr="00D13749">
        <w:t xml:space="preserve"> impacts the absorptive properties of skin in the visible and near-infrared spectral regions. There are at least two ways to reduce influence of the melanin on the diffuse reflectance spectrum of tissues: 1) use melanin-free tissue areas, 2) compensate for the contribution of melanin to diffuse reflection using the fact that the absorption of melanin decreases monotonically with increasing absorption wavelength.</w:t>
      </w:r>
    </w:p>
    <w:p w:rsidR="00D13749" w:rsidRDefault="00D13749" w:rsidP="00D13749">
      <w:r>
        <w:t xml:space="preserve">As nail plate is the melanin-free site [1], we </w:t>
      </w:r>
      <w:r w:rsidRPr="00D13749">
        <w:t xml:space="preserve">believe that in the case of using optical response from </w:t>
      </w:r>
      <w:r>
        <w:t>it</w:t>
      </w:r>
      <w:r w:rsidRPr="00D13749">
        <w:t>, the influence of m</w:t>
      </w:r>
      <w:r>
        <w:t xml:space="preserve">elanin is negligible. </w:t>
      </w:r>
      <w:r w:rsidRPr="00D13749">
        <w:t>On the contrary, in the case of using the response from the skin of the forearm and fingers, the contribution of melanin cannot be neglected. To evaluate the effects of different skin tones on hemoglobin prediction, we additionally check the model trained with DRS on data on patients grouped by their skin tonality.</w:t>
      </w:r>
    </w:p>
    <w:p w:rsidR="00257E96" w:rsidRPr="00257E96" w:rsidRDefault="00D13749" w:rsidP="00D13749">
      <w:r w:rsidRPr="00D13749">
        <w:t>In order to estimate skin tonality in our dataset (and corresponding Fitzpatrick skin types), we used the method described in [</w:t>
      </w:r>
      <w:r>
        <w:t>2</w:t>
      </w:r>
      <w:proofErr w:type="gramStart"/>
      <w:r>
        <w:t>,3</w:t>
      </w:r>
      <w:proofErr w:type="gramEnd"/>
      <w:r w:rsidRPr="00D13749">
        <w:t xml:space="preserve">]. Namely, we assessed an individual typology angle (ITA) based on color coordinates of the segmented images of skin regions obtained via RGB-imaging allowing us to categorize patients into skin tones from very light (Fitzpatrick skin type I, FPI) to dark (Fitzpatrick skin type VI, FPVI). The distribution of patients with various skin tones in the presented dataset is shown in </w:t>
      </w:r>
      <w:r>
        <w:lastRenderedPageBreak/>
        <w:t>Table S</w:t>
      </w:r>
      <w:r w:rsidRPr="00D13749">
        <w:t>1. As one can see, our dataset simultaneously presents patients with low pigmentation and with intermediate skin tonality values, and lacks the group with very dark skin (FP VI).</w:t>
      </w:r>
    </w:p>
    <w:p w:rsidR="00D13749" w:rsidRPr="00257E96" w:rsidRDefault="00D13749" w:rsidP="00257E96">
      <w:pPr>
        <w:spacing w:after="0"/>
        <w:rPr>
          <w:rFonts w:ascii="Times New Roman" w:hAnsi="Times New Roman" w:cs="Times New Roman"/>
          <w:sz w:val="20"/>
          <w:szCs w:val="20"/>
        </w:rPr>
      </w:pPr>
      <w:proofErr w:type="gramStart"/>
      <w:r w:rsidRPr="00257E96">
        <w:rPr>
          <w:b/>
          <w:sz w:val="20"/>
          <w:szCs w:val="20"/>
        </w:rPr>
        <w:t>Table S1</w:t>
      </w:r>
      <w:r w:rsidRPr="00257E96">
        <w:rPr>
          <w:sz w:val="20"/>
          <w:szCs w:val="20"/>
        </w:rPr>
        <w:t xml:space="preserve"> — Distribution of the number of patients in the dataset by skin type.</w:t>
      </w:r>
      <w:proofErr w:type="gramEnd"/>
    </w:p>
    <w:tbl>
      <w:tblPr>
        <w:tblStyle w:val="a8"/>
        <w:tblW w:w="0" w:type="auto"/>
        <w:tblLayout w:type="fixed"/>
        <w:tblLook w:val="04A0" w:firstRow="1" w:lastRow="0" w:firstColumn="1" w:lastColumn="0" w:noHBand="0" w:noVBand="1"/>
      </w:tblPr>
      <w:tblGrid>
        <w:gridCol w:w="2228"/>
        <w:gridCol w:w="1445"/>
        <w:gridCol w:w="1247"/>
        <w:gridCol w:w="1644"/>
        <w:gridCol w:w="1446"/>
        <w:gridCol w:w="1446"/>
      </w:tblGrid>
      <w:tr w:rsidR="00D13749" w:rsidRPr="00D13749" w:rsidTr="00257E96">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28" w:type="dxa"/>
            <w:hideMark/>
          </w:tcPr>
          <w:p w:rsidR="00D13749" w:rsidRPr="00257E96" w:rsidRDefault="00D13749" w:rsidP="00257E96">
            <w:pPr>
              <w:jc w:val="center"/>
              <w:rPr>
                <w:rFonts w:ascii="Times New Roman" w:hAnsi="Times New Roman" w:cs="Times New Roman"/>
                <w:b w:val="0"/>
                <w:sz w:val="28"/>
                <w:szCs w:val="24"/>
              </w:rPr>
            </w:pPr>
            <w:r w:rsidRPr="00257E96">
              <w:rPr>
                <w:b w:val="0"/>
              </w:rPr>
              <w:t>Skin tone</w:t>
            </w:r>
          </w:p>
          <w:p w:rsidR="00D13749" w:rsidRPr="00257E96" w:rsidRDefault="00D13749" w:rsidP="00257E96">
            <w:pPr>
              <w:jc w:val="center"/>
              <w:rPr>
                <w:rFonts w:ascii="Times New Roman" w:hAnsi="Times New Roman" w:cs="Times New Roman"/>
                <w:b w:val="0"/>
                <w:sz w:val="28"/>
                <w:szCs w:val="24"/>
              </w:rPr>
            </w:pPr>
            <w:r w:rsidRPr="00257E96">
              <w:rPr>
                <w:b w:val="0"/>
              </w:rPr>
              <w:t>(Fitzpatrick type)</w:t>
            </w:r>
          </w:p>
        </w:tc>
        <w:tc>
          <w:tcPr>
            <w:tcW w:w="1445" w:type="dxa"/>
            <w:hideMark/>
          </w:tcPr>
          <w:p w:rsidR="00257E96" w:rsidRPr="00257E96" w:rsidRDefault="00257E96" w:rsidP="00257E96">
            <w:pPr>
              <w:jc w:val="center"/>
              <w:cnfStyle w:val="100000000000" w:firstRow="1" w:lastRow="0" w:firstColumn="0" w:lastColumn="0" w:oddVBand="0" w:evenVBand="0" w:oddHBand="0" w:evenHBand="0" w:firstRowFirstColumn="0" w:firstRowLastColumn="0" w:lastRowFirstColumn="0" w:lastRowLastColumn="0"/>
              <w:rPr>
                <w:b w:val="0"/>
              </w:rPr>
            </w:pPr>
            <w:r w:rsidRPr="00257E96">
              <w:rPr>
                <w:b w:val="0"/>
              </w:rPr>
              <w:t>Very light</w:t>
            </w:r>
          </w:p>
          <w:p w:rsidR="00D13749" w:rsidRPr="00257E96" w:rsidRDefault="00D13749" w:rsidP="00257E96">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sz w:val="28"/>
                <w:szCs w:val="24"/>
              </w:rPr>
            </w:pPr>
            <w:r w:rsidRPr="00257E96">
              <w:rPr>
                <w:b w:val="0"/>
              </w:rPr>
              <w:t>(FP I)</w:t>
            </w:r>
          </w:p>
        </w:tc>
        <w:tc>
          <w:tcPr>
            <w:tcW w:w="1247" w:type="dxa"/>
            <w:hideMark/>
          </w:tcPr>
          <w:p w:rsidR="00257E96" w:rsidRPr="00257E96" w:rsidRDefault="00D13749" w:rsidP="00257E96">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sz w:val="28"/>
                <w:szCs w:val="24"/>
              </w:rPr>
            </w:pPr>
            <w:r w:rsidRPr="00257E96">
              <w:rPr>
                <w:b w:val="0"/>
              </w:rPr>
              <w:t>Light</w:t>
            </w:r>
          </w:p>
          <w:p w:rsidR="00D13749" w:rsidRPr="00257E96" w:rsidRDefault="00D13749" w:rsidP="00257E96">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sz w:val="28"/>
                <w:szCs w:val="24"/>
              </w:rPr>
            </w:pPr>
            <w:r w:rsidRPr="00257E96">
              <w:rPr>
                <w:b w:val="0"/>
              </w:rPr>
              <w:t>(FP II)</w:t>
            </w:r>
          </w:p>
        </w:tc>
        <w:tc>
          <w:tcPr>
            <w:tcW w:w="1644" w:type="dxa"/>
            <w:hideMark/>
          </w:tcPr>
          <w:p w:rsidR="00D13749" w:rsidRPr="00257E96" w:rsidRDefault="00D13749" w:rsidP="00257E96">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sz w:val="28"/>
                <w:szCs w:val="24"/>
              </w:rPr>
            </w:pPr>
            <w:r w:rsidRPr="00257E96">
              <w:rPr>
                <w:b w:val="0"/>
              </w:rPr>
              <w:t>Intermediate</w:t>
            </w:r>
          </w:p>
          <w:p w:rsidR="00D13749" w:rsidRPr="00257E96" w:rsidRDefault="00D13749" w:rsidP="00257E96">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sz w:val="28"/>
                <w:szCs w:val="24"/>
              </w:rPr>
            </w:pPr>
            <w:r w:rsidRPr="00257E96">
              <w:rPr>
                <w:b w:val="0"/>
              </w:rPr>
              <w:t>(FP III)</w:t>
            </w:r>
          </w:p>
        </w:tc>
        <w:tc>
          <w:tcPr>
            <w:tcW w:w="1446" w:type="dxa"/>
            <w:hideMark/>
          </w:tcPr>
          <w:p w:rsidR="00D13749" w:rsidRPr="00257E96" w:rsidRDefault="00D13749" w:rsidP="00257E96">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sz w:val="28"/>
                <w:szCs w:val="24"/>
              </w:rPr>
            </w:pPr>
            <w:r w:rsidRPr="00257E96">
              <w:rPr>
                <w:b w:val="0"/>
              </w:rPr>
              <w:t>Tanned</w:t>
            </w:r>
          </w:p>
          <w:p w:rsidR="00D13749" w:rsidRPr="00257E96" w:rsidRDefault="00D13749" w:rsidP="00257E96">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sz w:val="28"/>
                <w:szCs w:val="24"/>
              </w:rPr>
            </w:pPr>
            <w:r w:rsidRPr="00257E96">
              <w:rPr>
                <w:b w:val="0"/>
              </w:rPr>
              <w:t>(FP IV)</w:t>
            </w:r>
          </w:p>
        </w:tc>
        <w:tc>
          <w:tcPr>
            <w:tcW w:w="1446" w:type="dxa"/>
            <w:hideMark/>
          </w:tcPr>
          <w:p w:rsidR="00D13749" w:rsidRPr="00257E96" w:rsidRDefault="00D13749" w:rsidP="00257E96">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sz w:val="28"/>
                <w:szCs w:val="24"/>
              </w:rPr>
            </w:pPr>
            <w:r w:rsidRPr="00257E96">
              <w:rPr>
                <w:b w:val="0"/>
              </w:rPr>
              <w:t>Brown</w:t>
            </w:r>
          </w:p>
          <w:p w:rsidR="00D13749" w:rsidRPr="00257E96" w:rsidRDefault="00D13749" w:rsidP="00257E96">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sz w:val="28"/>
                <w:szCs w:val="24"/>
              </w:rPr>
            </w:pPr>
            <w:r w:rsidRPr="00257E96">
              <w:rPr>
                <w:b w:val="0"/>
              </w:rPr>
              <w:t>(FP V)</w:t>
            </w:r>
          </w:p>
        </w:tc>
      </w:tr>
      <w:tr w:rsidR="00257E96" w:rsidRPr="00D13749" w:rsidTr="00257E96">
        <w:trPr>
          <w:cnfStyle w:val="000000100000" w:firstRow="0" w:lastRow="0" w:firstColumn="0" w:lastColumn="0" w:oddVBand="0" w:evenVBand="0" w:oddHBand="1" w:evenHBand="0" w:firstRowFirstColumn="0" w:firstRowLastColumn="0" w:lastRowFirstColumn="0" w:lastRowLastColumn="0"/>
          <w:trHeight w:val="433"/>
        </w:trPr>
        <w:tc>
          <w:tcPr>
            <w:cnfStyle w:val="001000000000" w:firstRow="0" w:lastRow="0" w:firstColumn="1" w:lastColumn="0" w:oddVBand="0" w:evenVBand="0" w:oddHBand="0" w:evenHBand="0" w:firstRowFirstColumn="0" w:firstRowLastColumn="0" w:lastRowFirstColumn="0" w:lastRowLastColumn="0"/>
            <w:tcW w:w="2228" w:type="dxa"/>
            <w:vAlign w:val="center"/>
            <w:hideMark/>
          </w:tcPr>
          <w:p w:rsidR="00D13749" w:rsidRPr="00257E96" w:rsidRDefault="00D13749" w:rsidP="00257E96">
            <w:pPr>
              <w:spacing w:after="0"/>
              <w:jc w:val="center"/>
              <w:rPr>
                <w:rFonts w:ascii="Times New Roman" w:hAnsi="Times New Roman" w:cs="Times New Roman"/>
                <w:b w:val="0"/>
                <w:sz w:val="28"/>
                <w:szCs w:val="24"/>
              </w:rPr>
            </w:pPr>
            <w:r w:rsidRPr="00257E96">
              <w:rPr>
                <w:b w:val="0"/>
              </w:rPr>
              <w:t>Number of patients</w:t>
            </w:r>
          </w:p>
        </w:tc>
        <w:tc>
          <w:tcPr>
            <w:tcW w:w="1445" w:type="dxa"/>
            <w:vAlign w:val="center"/>
            <w:hideMark/>
          </w:tcPr>
          <w:p w:rsidR="00D13749" w:rsidRPr="00D13749" w:rsidRDefault="00D13749" w:rsidP="00257E96">
            <w:pPr>
              <w:spacing w:after="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8"/>
                <w:szCs w:val="24"/>
              </w:rPr>
            </w:pPr>
            <w:r w:rsidRPr="00D13749">
              <w:t>80</w:t>
            </w:r>
          </w:p>
        </w:tc>
        <w:tc>
          <w:tcPr>
            <w:tcW w:w="1247" w:type="dxa"/>
            <w:vAlign w:val="center"/>
            <w:hideMark/>
          </w:tcPr>
          <w:p w:rsidR="00D13749" w:rsidRPr="00D13749" w:rsidRDefault="00D13749" w:rsidP="00257E96">
            <w:pPr>
              <w:spacing w:after="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8"/>
                <w:szCs w:val="24"/>
              </w:rPr>
            </w:pPr>
            <w:r w:rsidRPr="00D13749">
              <w:t>82</w:t>
            </w:r>
          </w:p>
        </w:tc>
        <w:tc>
          <w:tcPr>
            <w:tcW w:w="1644" w:type="dxa"/>
            <w:vAlign w:val="center"/>
            <w:hideMark/>
          </w:tcPr>
          <w:p w:rsidR="00D13749" w:rsidRPr="00D13749" w:rsidRDefault="00D13749" w:rsidP="00257E96">
            <w:pPr>
              <w:spacing w:after="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8"/>
                <w:szCs w:val="24"/>
              </w:rPr>
            </w:pPr>
            <w:r w:rsidRPr="00D13749">
              <w:t>47</w:t>
            </w:r>
          </w:p>
        </w:tc>
        <w:tc>
          <w:tcPr>
            <w:tcW w:w="1446" w:type="dxa"/>
            <w:vAlign w:val="center"/>
            <w:hideMark/>
          </w:tcPr>
          <w:p w:rsidR="00D13749" w:rsidRPr="00D13749" w:rsidRDefault="00D13749" w:rsidP="00257E96">
            <w:pPr>
              <w:spacing w:after="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8"/>
                <w:szCs w:val="24"/>
              </w:rPr>
            </w:pPr>
            <w:r w:rsidRPr="00D13749">
              <w:t>25</w:t>
            </w:r>
          </w:p>
        </w:tc>
        <w:tc>
          <w:tcPr>
            <w:tcW w:w="1446" w:type="dxa"/>
            <w:vAlign w:val="center"/>
            <w:hideMark/>
          </w:tcPr>
          <w:p w:rsidR="00D13749" w:rsidRPr="00D13749" w:rsidRDefault="00D13749" w:rsidP="00257E96">
            <w:pPr>
              <w:spacing w:after="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8"/>
                <w:szCs w:val="24"/>
              </w:rPr>
            </w:pPr>
            <w:r w:rsidRPr="00D13749">
              <w:t>6</w:t>
            </w:r>
          </w:p>
        </w:tc>
      </w:tr>
    </w:tbl>
    <w:p w:rsidR="00257E96" w:rsidRDefault="00257E96" w:rsidP="00D13749"/>
    <w:p w:rsidR="00257E96" w:rsidRDefault="00D13749" w:rsidP="00D13749">
      <w:r w:rsidRPr="00D13749">
        <w:t xml:space="preserve">For patients of different groups, grouped by skin color, we calculated the average diffuse reflectance spectra of the skin on the inner side of the forearm. </w:t>
      </w:r>
      <w:proofErr w:type="gramStart"/>
      <w:r w:rsidRPr="00D13749">
        <w:t xml:space="preserve">As can be seen, indeed, with increasing skin type on the Fitzpatrick scale, the optical density increases throughout the entire spectral </w:t>
      </w:r>
      <w:r w:rsidR="00257E96">
        <w:t>range from 500 to 700 nm (Fig.</w:t>
      </w:r>
      <w:proofErr w:type="gramEnd"/>
      <w:r w:rsidR="00257E96">
        <w:t xml:space="preserve"> </w:t>
      </w:r>
      <w:proofErr w:type="gramStart"/>
      <w:r w:rsidR="00257E96">
        <w:t>S</w:t>
      </w:r>
      <w:r w:rsidRPr="00D13749">
        <w:t>1A), due to the influence of the melanin.</w:t>
      </w:r>
      <w:proofErr w:type="gramEnd"/>
      <w:r w:rsidRPr="00D13749">
        <w:t xml:space="preserve"> Using average OD spectra for each skin tone, we evaluated the impact of the preprocessing methods employed — linear correction and subtraction of optical density within the range of 630–650 nm (Fig. 2A of the manuscript) —  to estimate how good they compensate for melanin differences observed in OD </w:t>
      </w:r>
      <w:r w:rsidR="00257E96">
        <w:t>spectra.</w:t>
      </w:r>
    </w:p>
    <w:p w:rsidR="00257E96" w:rsidRDefault="00257E96" w:rsidP="00D13749">
      <w:r>
        <w:t>As can be seen (Fig. S</w:t>
      </w:r>
      <w:r w:rsidR="00F76C68">
        <w:t>1B</w:t>
      </w:r>
      <w:proofErr w:type="gramStart"/>
      <w:r w:rsidR="00F76C68">
        <w:t>,C</w:t>
      </w:r>
      <w:proofErr w:type="gramEnd"/>
      <w:r w:rsidR="00F76C68">
        <w:t xml:space="preserve">), both subtraction of </w:t>
      </w:r>
      <w:r w:rsidR="00D13749" w:rsidRPr="00D13749">
        <w:t xml:space="preserve">the </w:t>
      </w:r>
      <w:r>
        <w:t>average OD at 630-650 nm (Fig. S</w:t>
      </w:r>
      <w:r w:rsidR="00D13749" w:rsidRPr="00D13749">
        <w:t>1B) and “linear correcti</w:t>
      </w:r>
      <w:r w:rsidR="00F76C68">
        <w:t>on” at wavelengths of 510 and 61</w:t>
      </w:r>
      <w:r w:rsidR="00D13749" w:rsidRPr="00D13749">
        <w:t>0 nm leads to compensation of the absorption associated with melanin: hemoglobin absorption band amplitude for average spectra becomes nearly the same for different skin tonalities. Thus, we believe that this preprocessing can compensate for the influence of melanin on determining the hemoglobin level from diffuse reflectance data in the skin.</w:t>
      </w:r>
    </w:p>
    <w:p w:rsidR="009F2E0B" w:rsidRDefault="009F2E0B" w:rsidP="009F2E0B">
      <w:r>
        <w:t>Note that earlier works used similar preprocessing methods to compensate for melanin content [</w:t>
      </w:r>
      <w:r>
        <w:t>4</w:t>
      </w:r>
      <w:r>
        <w:t>,</w:t>
      </w:r>
      <w:r>
        <w:t>5</w:t>
      </w:r>
      <w:r>
        <w:t>], showing that the area under OD spectrum in the range 520-580 nm after linear correction, will mainly depend on the hemoglobin content and is not affected by melanin.</w:t>
      </w:r>
    </w:p>
    <w:p w:rsidR="00F76C68" w:rsidRPr="00257E96" w:rsidRDefault="00F76C68" w:rsidP="009F2E0B"/>
    <w:p w:rsidR="00257E96" w:rsidRDefault="00257E96" w:rsidP="00257E96">
      <w:pPr>
        <w:pStyle w:val="a4"/>
        <w:spacing w:before="0" w:beforeAutospacing="0" w:after="0" w:afterAutospacing="0"/>
        <w:jc w:val="both"/>
      </w:pPr>
      <w:r>
        <w:rPr>
          <w:rFonts w:ascii="Arial" w:hAnsi="Arial" w:cs="Arial"/>
          <w:noProof/>
          <w:color w:val="000000"/>
          <w:sz w:val="22"/>
          <w:szCs w:val="22"/>
          <w:bdr w:val="none" w:sz="0" w:space="0" w:color="auto" w:frame="1"/>
        </w:rPr>
        <w:lastRenderedPageBreak/>
        <w:drawing>
          <wp:inline distT="0" distB="0" distL="0" distR="0">
            <wp:extent cx="5735320" cy="1558290"/>
            <wp:effectExtent l="0" t="0" r="0" b="3810"/>
            <wp:docPr id="4" name="Рисунок 4" descr="https://lh7-us.googleusercontent.com/docsz/AD_4nXfZkK2qrxSNSowpbdT5ZgRisO3mc0SgMbFEol6NX8o_gw9-Azs_A4lsUWZqYl-8KPuW6S318XtTXPKuMF1EP5m418TjKWWTE0UBJNbGmPb0kVvPlsDRmmBRPjyZsjYjCRAT33Z-mGjIu_AIMSlU154C6n0?key=t_mH7nSLnQ8IY5lV_edjJQ"/>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https://lh7-us.googleusercontent.com/docsz/AD_4nXfZkK2qrxSNSowpbdT5ZgRisO3mc0SgMbFEol6NX8o_gw9-Azs_A4lsUWZqYl-8KPuW6S318XtTXPKuMF1EP5m418TjKWWTE0UBJNbGmPb0kVvPlsDRmmBRPjyZsjYjCRAT33Z-mGjIu_AIMSlU154C6n0?key=t_mH7nSLnQ8IY5lV_edjJQ"/>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5735320" cy="1558290"/>
                    </a:xfrm>
                    <a:prstGeom prst="rect">
                      <a:avLst/>
                    </a:prstGeom>
                    <a:noFill/>
                    <a:ln>
                      <a:noFill/>
                    </a:ln>
                  </pic:spPr>
                </pic:pic>
              </a:graphicData>
            </a:graphic>
          </wp:inline>
        </w:drawing>
      </w:r>
    </w:p>
    <w:p w:rsidR="00D13749" w:rsidRDefault="00257E96" w:rsidP="00257E96">
      <w:pPr>
        <w:pStyle w:val="a4"/>
        <w:spacing w:before="0" w:beforeAutospacing="0" w:after="0" w:afterAutospacing="0"/>
        <w:jc w:val="both"/>
        <w:rPr>
          <w:rFonts w:ascii="Arial" w:hAnsi="Arial" w:cs="Arial"/>
          <w:color w:val="000000"/>
          <w:sz w:val="20"/>
          <w:szCs w:val="20"/>
        </w:rPr>
      </w:pPr>
      <w:r w:rsidRPr="00257E96">
        <w:rPr>
          <w:rFonts w:ascii="Arial" w:hAnsi="Arial" w:cs="Arial"/>
          <w:b/>
          <w:color w:val="000000"/>
          <w:sz w:val="20"/>
          <w:szCs w:val="20"/>
        </w:rPr>
        <w:t>Figure S</w:t>
      </w:r>
      <w:r w:rsidRPr="00257E96">
        <w:rPr>
          <w:rFonts w:ascii="Arial" w:hAnsi="Arial" w:cs="Arial"/>
          <w:b/>
          <w:color w:val="000000"/>
          <w:sz w:val="20"/>
          <w:szCs w:val="20"/>
        </w:rPr>
        <w:t>1</w:t>
      </w:r>
      <w:r w:rsidRPr="00257E96">
        <w:rPr>
          <w:rFonts w:ascii="Arial" w:hAnsi="Arial" w:cs="Arial"/>
          <w:color w:val="000000"/>
          <w:sz w:val="20"/>
          <w:szCs w:val="20"/>
        </w:rPr>
        <w:t xml:space="preserve"> — Optical density spectra of skin of the inner forearm averaged for patients of the same skin tonalities presented in the dataset. A) Raw OD spectra,</w:t>
      </w:r>
      <w:proofErr w:type="gramStart"/>
      <w:r w:rsidRPr="00257E96">
        <w:rPr>
          <w:rFonts w:ascii="Arial" w:hAnsi="Arial" w:cs="Arial"/>
          <w:color w:val="000000"/>
          <w:sz w:val="20"/>
          <w:szCs w:val="20"/>
        </w:rPr>
        <w:t>  B</w:t>
      </w:r>
      <w:proofErr w:type="gramEnd"/>
      <w:r w:rsidRPr="00257E96">
        <w:rPr>
          <w:rFonts w:ascii="Arial" w:hAnsi="Arial" w:cs="Arial"/>
          <w:color w:val="000000"/>
          <w:sz w:val="20"/>
          <w:szCs w:val="20"/>
        </w:rPr>
        <w:t>) OD spectra after subtraction of the averaged OD value in 630-650 nm range. С) OD spectra after “linear correction” — subtraction of linear baseline, estimated using data of OD at 510 ± 5 nm and 610 ± 5 nm. </w:t>
      </w:r>
    </w:p>
    <w:p w:rsidR="00257E96" w:rsidRPr="00257E96" w:rsidRDefault="00257E96" w:rsidP="00257E96">
      <w:pPr>
        <w:pStyle w:val="a4"/>
        <w:spacing w:before="0" w:beforeAutospacing="0" w:after="0" w:afterAutospacing="0"/>
        <w:jc w:val="both"/>
        <w:rPr>
          <w:sz w:val="20"/>
          <w:szCs w:val="20"/>
        </w:rPr>
      </w:pPr>
    </w:p>
    <w:p w:rsidR="00F76C68" w:rsidRDefault="00F76C68" w:rsidP="00F76C68">
      <w:r>
        <w:t>The justification for the linear correction procedure used in our work</w:t>
      </w:r>
      <w:r>
        <w:t xml:space="preserve"> also stems from the following considerations</w:t>
      </w:r>
      <w:r>
        <w:t xml:space="preserve">. In contrast to the absorption spectra of “usual” molecular chromophores, such as </w:t>
      </w:r>
      <w:proofErr w:type="spellStart"/>
      <w:r>
        <w:t>haemoglobin</w:t>
      </w:r>
      <w:proofErr w:type="spellEnd"/>
      <w:r>
        <w:t xml:space="preserve">, the scattering coefficient of tissues and the absorption coefficient of melanin smoothly and monotonically decreases with wavelength in the visible and near-IR range, without having peaks in the range of 500-600 nm (in the region where hemoglobin has intense absorption), and having non-zero values </w:t>
      </w:r>
      <w:r>
        <w:rPr>
          <w:rFonts w:ascii="Cambria Math" w:hAnsi="Cambria Math" w:cs="Cambria Math"/>
        </w:rPr>
        <w:t>i</w:t>
      </w:r>
      <w:r>
        <w:t>n the range of 600-700 nm (Fig.S2).</w:t>
      </w:r>
      <w:r>
        <w:t xml:space="preserve"> Thus, its contribution (as well as contribution for scattering) could be fitted as linear or low order polynomial function.</w:t>
      </w:r>
    </w:p>
    <w:p w:rsidR="00F76C68" w:rsidRDefault="00F76C68" w:rsidP="004F5DAF">
      <w:pPr>
        <w:jc w:val="center"/>
      </w:pPr>
      <w:r>
        <w:rPr>
          <w:rFonts w:cs="Arial"/>
          <w:noProof/>
          <w:color w:val="000000"/>
          <w:sz w:val="22"/>
          <w:bdr w:val="none" w:sz="0" w:space="0" w:color="auto" w:frame="1"/>
        </w:rPr>
        <w:drawing>
          <wp:inline distT="0" distB="0" distL="0" distR="0" wp14:anchorId="1BFAADCB" wp14:editId="7AEA1477">
            <wp:extent cx="3674745" cy="2406650"/>
            <wp:effectExtent l="0" t="0" r="1905" b="0"/>
            <wp:docPr id="6" name="Рисунок 6" descr="https://lh7-us.googleusercontent.com/docsz/AD_4nXcQmlF0y4pj91AFXsTRtvLyLV8DopBJhsBflpzIrfLLOBveBWJ39y2vGGlyQFPzTUU1ghUFnClVeUlUNmNjHCST826smol3wx9oaFXQIJT1_A46d-ADxKQuOqLLH3B8xSIyNDUPZfUOK9AMjlUmdypWkKVW?key=t_mH7nSLnQ8IY5lV_edjJQ"/>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https://lh7-us.googleusercontent.com/docsz/AD_4nXcQmlF0y4pj91AFXsTRtvLyLV8DopBJhsBflpzIrfLLOBveBWJ39y2vGGlyQFPzTUU1ghUFnClVeUlUNmNjHCST826smol3wx9oaFXQIJT1_A46d-ADxKQuOqLLH3B8xSIyNDUPZfUOK9AMjlUmdypWkKVW?key=t_mH7nSLnQ8IY5lV_edjJQ"/>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3674745" cy="2406650"/>
                    </a:xfrm>
                    <a:prstGeom prst="rect">
                      <a:avLst/>
                    </a:prstGeom>
                    <a:noFill/>
                    <a:ln>
                      <a:noFill/>
                    </a:ln>
                  </pic:spPr>
                </pic:pic>
              </a:graphicData>
            </a:graphic>
          </wp:inline>
        </w:drawing>
      </w:r>
    </w:p>
    <w:p w:rsidR="00F76C68" w:rsidRPr="00F94D9A" w:rsidRDefault="00F76C68" w:rsidP="00257E96">
      <w:pPr>
        <w:rPr>
          <w:sz w:val="20"/>
        </w:rPr>
      </w:pPr>
      <w:r w:rsidRPr="00F94D9A">
        <w:rPr>
          <w:b/>
          <w:sz w:val="20"/>
        </w:rPr>
        <w:t xml:space="preserve">Figure </w:t>
      </w:r>
      <w:r w:rsidRPr="00F94D9A">
        <w:rPr>
          <w:b/>
          <w:sz w:val="20"/>
        </w:rPr>
        <w:t>S2</w:t>
      </w:r>
      <w:r w:rsidRPr="00F94D9A">
        <w:rPr>
          <w:sz w:val="20"/>
        </w:rPr>
        <w:t xml:space="preserve"> — Normalized attenuation coefficient spectra for </w:t>
      </w:r>
      <w:proofErr w:type="spellStart"/>
      <w:r w:rsidRPr="00F94D9A">
        <w:rPr>
          <w:sz w:val="20"/>
        </w:rPr>
        <w:t>deoxyhemoglobin</w:t>
      </w:r>
      <w:proofErr w:type="spellEnd"/>
      <w:r w:rsidRPr="00F94D9A">
        <w:rPr>
          <w:sz w:val="20"/>
        </w:rPr>
        <w:t xml:space="preserve">, </w:t>
      </w:r>
      <w:proofErr w:type="spellStart"/>
      <w:r w:rsidRPr="00F94D9A">
        <w:rPr>
          <w:sz w:val="20"/>
        </w:rPr>
        <w:t>oxyhemoglobin</w:t>
      </w:r>
      <w:proofErr w:type="spellEnd"/>
      <w:r w:rsidRPr="00F94D9A">
        <w:rPr>
          <w:sz w:val="20"/>
        </w:rPr>
        <w:t xml:space="preserve">, eumelanin and reduced scattering coefficient of dermis from </w:t>
      </w:r>
      <w:r w:rsidRPr="00F94D9A">
        <w:rPr>
          <w:sz w:val="20"/>
        </w:rPr>
        <w:t>[6].</w:t>
      </w:r>
    </w:p>
    <w:p w:rsidR="00257E96" w:rsidRPr="00257E96" w:rsidRDefault="00257E96" w:rsidP="00257E96">
      <w:pPr>
        <w:rPr>
          <w:rFonts w:ascii="Times New Roman" w:hAnsi="Times New Roman" w:cs="Times New Roman"/>
          <w:szCs w:val="24"/>
        </w:rPr>
      </w:pPr>
      <w:r w:rsidRPr="00257E96">
        <w:t>As the last step, we evaluated the accuracy of a classifier trained using DRS features for skin areas on the forearm (model #6 from Table 1) in case when the model is trained on data from patients of certain skin tonalities and makes predictions for other skin tonalities.</w:t>
      </w:r>
    </w:p>
    <w:p w:rsidR="00257E96" w:rsidRDefault="00257E96" w:rsidP="00257E96">
      <w:r w:rsidRPr="00257E96">
        <w:lastRenderedPageBreak/>
        <w:t>To do this, we grouped the dataset</w:t>
      </w:r>
      <w:r>
        <w:t xml:space="preserve"> into the following categories: </w:t>
      </w:r>
    </w:p>
    <w:p w:rsidR="00257E96" w:rsidRDefault="00257E96" w:rsidP="00257E96">
      <w:pPr>
        <w:pStyle w:val="a7"/>
        <w:numPr>
          <w:ilvl w:val="0"/>
          <w:numId w:val="1"/>
        </w:numPr>
      </w:pPr>
      <w:r w:rsidRPr="00257E96">
        <w:t>Very light skin t</w:t>
      </w:r>
      <w:r>
        <w:t>one group (FP I) — 80 patients;</w:t>
      </w:r>
    </w:p>
    <w:p w:rsidR="00257E96" w:rsidRDefault="00257E96" w:rsidP="00257E96">
      <w:pPr>
        <w:pStyle w:val="a7"/>
        <w:numPr>
          <w:ilvl w:val="0"/>
          <w:numId w:val="1"/>
        </w:numPr>
      </w:pPr>
      <w:r w:rsidRPr="00257E96">
        <w:t>(2) Light skin tone group</w:t>
      </w:r>
      <w:r>
        <w:t xml:space="preserve"> (FP II) — light — 82 patients;</w:t>
      </w:r>
    </w:p>
    <w:p w:rsidR="00257E96" w:rsidRPr="00257E96" w:rsidRDefault="00257E96" w:rsidP="00257E96">
      <w:pPr>
        <w:pStyle w:val="a7"/>
        <w:numPr>
          <w:ilvl w:val="0"/>
          <w:numId w:val="1"/>
        </w:numPr>
      </w:pPr>
      <w:r w:rsidRPr="00257E96">
        <w:t>(3) Brown skin tone group (FP III, IV, V) — 78 pati</w:t>
      </w:r>
      <w:r>
        <w:t>ents (see distribution in Fig. S</w:t>
      </w:r>
      <w:r w:rsidR="00C95D56">
        <w:t>3</w:t>
      </w:r>
      <w:r w:rsidRPr="00257E96">
        <w:t>A).</w:t>
      </w:r>
    </w:p>
    <w:p w:rsidR="00257E96" w:rsidRPr="00257E96" w:rsidRDefault="00257E96" w:rsidP="005710C1">
      <w:pPr>
        <w:rPr>
          <w:rFonts w:ascii="Times New Roman" w:hAnsi="Times New Roman" w:cs="Times New Roman"/>
          <w:szCs w:val="24"/>
        </w:rPr>
      </w:pPr>
      <w:r w:rsidRPr="00257E96">
        <w:t>We assessed the quality of the classification model when one of the groups was used as validation and the rest were used for training. The performance quality of the classifier for</w:t>
      </w:r>
      <w:r>
        <w:t xml:space="preserve"> each group is shown in Figure S</w:t>
      </w:r>
      <w:r w:rsidR="00C95D56">
        <w:t>3</w:t>
      </w:r>
      <w:r w:rsidRPr="00257E96">
        <w:t>B. As we can see, there are no significant differences in classification quality for different skin tones — ROC-AUC values varied from 0.7 to 0.8. We also note that our dataset did not include patients with skin tone FPVI. Evaluating the impact of melanin in cases of high pigmentation necessitates additional experiments.</w:t>
      </w:r>
    </w:p>
    <w:p w:rsidR="00257E96" w:rsidRPr="00257E96" w:rsidRDefault="00257E96" w:rsidP="00257E96">
      <w:pPr>
        <w:spacing w:after="0" w:line="240" w:lineRule="auto"/>
        <w:rPr>
          <w:rFonts w:ascii="Times New Roman" w:eastAsia="Times New Roman" w:hAnsi="Times New Roman" w:cs="Times New Roman"/>
          <w:szCs w:val="24"/>
        </w:rPr>
      </w:pPr>
      <w:r>
        <w:rPr>
          <w:rFonts w:eastAsia="Times New Roman" w:cs="Arial"/>
          <w:noProof/>
          <w:color w:val="000000"/>
          <w:sz w:val="22"/>
          <w:bdr w:val="none" w:sz="0" w:space="0" w:color="auto" w:frame="1"/>
        </w:rPr>
        <w:drawing>
          <wp:inline distT="0" distB="0" distL="0" distR="0">
            <wp:extent cx="5736590" cy="3502025"/>
            <wp:effectExtent l="0" t="0" r="0" b="3175"/>
            <wp:docPr id="5" name="Рисунок 5" descr="https://lh7-us.googleusercontent.com/docsz/AD_4nXetABQYH3ozrDVOPQj9BT5Ps-UvXrg0i3Q6-UYDJe0lZXtLkXMfLJ-8kqrqRXWWCI0yrPdd8TGoEluUjLSrUMdVV6KpVKEMH5vSK-qjPEeUlEX6OJ8EZfeA4M3N3OdjOPzmQuECF9kk2hAaEN4OaMn8nRo?key=t_mH7nSLnQ8IY5lV_edjJQ"/>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https://lh7-us.googleusercontent.com/docsz/AD_4nXetABQYH3ozrDVOPQj9BT5Ps-UvXrg0i3Q6-UYDJe0lZXtLkXMfLJ-8kqrqRXWWCI0yrPdd8TGoEluUjLSrUMdVV6KpVKEMH5vSK-qjPEeUlEX6OJ8EZfeA4M3N3OdjOPzmQuECF9kk2hAaEN4OaMn8nRo?key=t_mH7nSLnQ8IY5lV_edjJQ"/>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736590" cy="3502025"/>
                    </a:xfrm>
                    <a:prstGeom prst="rect">
                      <a:avLst/>
                    </a:prstGeom>
                    <a:noFill/>
                    <a:ln>
                      <a:noFill/>
                    </a:ln>
                  </pic:spPr>
                </pic:pic>
              </a:graphicData>
            </a:graphic>
          </wp:inline>
        </w:drawing>
      </w:r>
    </w:p>
    <w:p w:rsidR="00257E96" w:rsidRPr="00257E96" w:rsidRDefault="00257E96" w:rsidP="00257E96">
      <w:pPr>
        <w:spacing w:after="0" w:line="240" w:lineRule="auto"/>
        <w:rPr>
          <w:rFonts w:ascii="Times New Roman" w:eastAsia="Times New Roman" w:hAnsi="Times New Roman" w:cs="Times New Roman"/>
          <w:szCs w:val="24"/>
        </w:rPr>
      </w:pPr>
      <w:r w:rsidRPr="0089121A">
        <w:rPr>
          <w:rFonts w:eastAsia="Times New Roman" w:cs="Arial"/>
          <w:b/>
          <w:color w:val="000000"/>
          <w:sz w:val="22"/>
        </w:rPr>
        <w:t>Figure S</w:t>
      </w:r>
      <w:r w:rsidR="00C95D56">
        <w:rPr>
          <w:rFonts w:eastAsia="Times New Roman" w:cs="Arial"/>
          <w:b/>
          <w:color w:val="000000"/>
          <w:sz w:val="22"/>
        </w:rPr>
        <w:t>3</w:t>
      </w:r>
      <w:r w:rsidRPr="00257E96">
        <w:rPr>
          <w:rFonts w:eastAsia="Times New Roman" w:cs="Arial"/>
          <w:color w:val="000000"/>
          <w:sz w:val="22"/>
        </w:rPr>
        <w:t xml:space="preserve"> — A) Distribution of patients over skin tones in the dataset</w:t>
      </w:r>
      <w:proofErr w:type="gramStart"/>
      <w:r w:rsidRPr="00257E96">
        <w:rPr>
          <w:rFonts w:eastAsia="Times New Roman" w:cs="Arial"/>
          <w:color w:val="000000"/>
          <w:sz w:val="22"/>
        </w:rPr>
        <w:t>  B</w:t>
      </w:r>
      <w:proofErr w:type="gramEnd"/>
      <w:r w:rsidRPr="00257E96">
        <w:rPr>
          <w:rFonts w:eastAsia="Times New Roman" w:cs="Arial"/>
          <w:color w:val="000000"/>
          <w:sz w:val="22"/>
        </w:rPr>
        <w:t xml:space="preserve">) ROC-AUC values of the classification model trained using diffuse reflectance data of forearm skin of different tonality.  </w:t>
      </w:r>
    </w:p>
    <w:p w:rsidR="00EB4BBD" w:rsidRDefault="00EB4BBD" w:rsidP="00D13749"/>
    <w:p w:rsidR="004C5596" w:rsidRDefault="004C5596" w:rsidP="004C5596">
      <w:pPr>
        <w:pStyle w:val="1"/>
        <w:rPr>
          <w:b w:val="0"/>
        </w:rPr>
      </w:pPr>
      <w:r>
        <w:t xml:space="preserve">Section S2. </w:t>
      </w:r>
      <w:bookmarkStart w:id="0" w:name="_GoBack"/>
      <w:r>
        <w:t xml:space="preserve">Combined model quality </w:t>
      </w:r>
      <w:r w:rsidR="00EB4BBD">
        <w:t>evaluation</w:t>
      </w:r>
      <w:bookmarkEnd w:id="0"/>
    </w:p>
    <w:p w:rsidR="004C5596" w:rsidRDefault="004C5596" w:rsidP="004C5596">
      <w:r>
        <w:rPr>
          <w:rFonts w:cs="Arial"/>
          <w:noProof/>
          <w:color w:val="000000"/>
          <w:sz w:val="22"/>
          <w:bdr w:val="none" w:sz="0" w:space="0" w:color="auto" w:frame="1"/>
        </w:rPr>
        <w:lastRenderedPageBreak/>
        <w:drawing>
          <wp:inline distT="0" distB="0" distL="0" distR="0">
            <wp:extent cx="5733415" cy="2019300"/>
            <wp:effectExtent l="0" t="0" r="635" b="0"/>
            <wp:docPr id="7" name="Рисунок 7" descr="https://lh7-us.googleusercontent.com/docsz/AD_4nXcnXVVA_TRX0q8x0ccaDlquytmmb-EePEb9jVAZGFwLujUZEr9ByG14bW6yyYx5c6mTip0xcvYsYLhES1eylZNyBdknS2ir7KraYAgojx3jxuvs3Kg6uo9pt7bO1kD8x027FOR73-gQRkJY3t83yKG4dqk-?key=t_mH7nSLnQ8IY5lV_edjJQ"/>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https://lh7-us.googleusercontent.com/docsz/AD_4nXcnXVVA_TRX0q8x0ccaDlquytmmb-EePEb9jVAZGFwLujUZEr9ByG14bW6yyYx5c6mTip0xcvYsYLhES1eylZNyBdknS2ir7KraYAgojx3jxuvs3Kg6uo9pt7bO1kD8x027FOR73-gQRkJY3t83yKG4dqk-?key=t_mH7nSLnQ8IY5lV_edjJQ"/>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733415" cy="2019300"/>
                    </a:xfrm>
                    <a:prstGeom prst="rect">
                      <a:avLst/>
                    </a:prstGeom>
                    <a:noFill/>
                    <a:ln>
                      <a:noFill/>
                    </a:ln>
                  </pic:spPr>
                </pic:pic>
              </a:graphicData>
            </a:graphic>
          </wp:inline>
        </w:drawing>
      </w:r>
    </w:p>
    <w:p w:rsidR="004C5596" w:rsidRDefault="004C5596" w:rsidP="004C5596">
      <w:r>
        <w:rPr>
          <w:rFonts w:cs="Arial"/>
          <w:color w:val="000000"/>
          <w:sz w:val="22"/>
        </w:rPr>
        <w:t xml:space="preserve">Figure S4 – </w:t>
      </w:r>
      <w:r>
        <w:rPr>
          <w:rFonts w:cs="Arial"/>
          <w:color w:val="000000"/>
          <w:sz w:val="22"/>
        </w:rPr>
        <w:t>A) Flow diagram of the experiment to evaluate the quality of the combined model. B) Pairwise difference between the metrics of the combined model and the “single-model” model that uses only one data source (diffuse reflectance spectra or imaging data).</w:t>
      </w:r>
    </w:p>
    <w:p w:rsidR="004C5596" w:rsidRPr="004C5596" w:rsidRDefault="004C5596" w:rsidP="004C5596"/>
    <w:p w:rsidR="00D13749" w:rsidRDefault="00D13749" w:rsidP="00D13749">
      <w:pPr>
        <w:pStyle w:val="1"/>
      </w:pPr>
      <w:r>
        <w:t>References</w:t>
      </w:r>
    </w:p>
    <w:p w:rsidR="00D13749" w:rsidRDefault="00D13749" w:rsidP="00D13749">
      <w:r>
        <w:t xml:space="preserve">[1] </w:t>
      </w:r>
      <w:proofErr w:type="spellStart"/>
      <w:r w:rsidRPr="00D13749">
        <w:t>Mannino</w:t>
      </w:r>
      <w:proofErr w:type="spellEnd"/>
      <w:r w:rsidRPr="00D13749">
        <w:t>, Robert G., et al. "Smartphone app for non-invasive detection of anemia using only patient-sourced photos." Nature communications 9.1 (2018): 4924.</w:t>
      </w:r>
    </w:p>
    <w:p w:rsidR="00D13749" w:rsidRDefault="00D13749" w:rsidP="00D13749">
      <w:r>
        <w:t xml:space="preserve">[2] </w:t>
      </w:r>
      <w:r w:rsidRPr="00D13749">
        <w:t>Wilkes, Marcus, et al. "Fitzpatrick skin type, individual typology angle, and melanin index in an African population: steps toward universally applicable skin photosensitivity assessments." JAMA dermatology 151.8 (2015): 902-903.</w:t>
      </w:r>
    </w:p>
    <w:p w:rsidR="00D13749" w:rsidRDefault="00D13749" w:rsidP="00D13749">
      <w:r>
        <w:t xml:space="preserve">[3] </w:t>
      </w:r>
      <w:r w:rsidRPr="00D13749">
        <w:t xml:space="preserve">Wu, </w:t>
      </w:r>
      <w:proofErr w:type="spellStart"/>
      <w:r w:rsidRPr="00D13749">
        <w:t>Yue</w:t>
      </w:r>
      <w:proofErr w:type="spellEnd"/>
      <w:r w:rsidRPr="00D13749">
        <w:t xml:space="preserve">, Toshiyuki Tanaka, and </w:t>
      </w:r>
      <w:proofErr w:type="spellStart"/>
      <w:r w:rsidRPr="00D13749">
        <w:t>Makio</w:t>
      </w:r>
      <w:proofErr w:type="spellEnd"/>
      <w:r w:rsidRPr="00D13749">
        <w:t xml:space="preserve"> Akimoto. "Utilization of individual typology angle (ITA) and hue angle in the measurement of skin color on images." </w:t>
      </w:r>
      <w:proofErr w:type="spellStart"/>
      <w:r w:rsidRPr="00D13749">
        <w:t>bioimages</w:t>
      </w:r>
      <w:proofErr w:type="spellEnd"/>
      <w:r w:rsidRPr="00D13749">
        <w:t xml:space="preserve"> 28 (2020): 1-8.</w:t>
      </w:r>
    </w:p>
    <w:p w:rsidR="009F2E0B" w:rsidRDefault="009F2E0B" w:rsidP="00D13749">
      <w:r>
        <w:t xml:space="preserve">[4] </w:t>
      </w:r>
      <w:proofErr w:type="spellStart"/>
      <w:r w:rsidRPr="009F2E0B">
        <w:t>Dolotov</w:t>
      </w:r>
      <w:proofErr w:type="spellEnd"/>
      <w:r w:rsidRPr="009F2E0B">
        <w:t>, L. E., et al. "Design and evaluation of a novel portable erythema</w:t>
      </w:r>
      <w:r w:rsidRPr="009F2E0B">
        <w:rPr>
          <w:rFonts w:ascii="Cambria Math" w:hAnsi="Cambria Math" w:cs="Cambria Math"/>
        </w:rPr>
        <w:t>‐</w:t>
      </w:r>
      <w:r w:rsidRPr="009F2E0B">
        <w:t>melanin</w:t>
      </w:r>
      <w:r w:rsidRPr="009F2E0B">
        <w:rPr>
          <w:rFonts w:ascii="Cambria Math" w:hAnsi="Cambria Math" w:cs="Cambria Math"/>
        </w:rPr>
        <w:t>‐</w:t>
      </w:r>
      <w:r w:rsidRPr="009F2E0B">
        <w:t>meter." Lasers in Surgery and Medicine 34.2 (2004): 127-135.</w:t>
      </w:r>
    </w:p>
    <w:p w:rsidR="009F2E0B" w:rsidRDefault="009F2E0B" w:rsidP="00D13749">
      <w:r>
        <w:t xml:space="preserve">[5] </w:t>
      </w:r>
      <w:r w:rsidRPr="009F2E0B">
        <w:t>Dawson, J. B., et al. "A theoretical and experimental study of light absorption and scattering by in vivo skin." Physics in Medicine &amp; Biology 25.4 (1980): 695.</w:t>
      </w:r>
    </w:p>
    <w:p w:rsidR="00F76C68" w:rsidRPr="00D13749" w:rsidRDefault="00F76C68" w:rsidP="00D13749">
      <w:r>
        <w:t xml:space="preserve">[6] </w:t>
      </w:r>
      <w:r w:rsidRPr="00F76C68">
        <w:t>Jacques, Steven L. "Optical properties of biological tissues: a review." Physics in Medicine &amp; Biology 58.11 (2013): R37.</w:t>
      </w:r>
    </w:p>
    <w:sectPr w:rsidR="00F76C68" w:rsidRPr="00D1374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Wingdings">
    <w:panose1 w:val="00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20002A87" w:usb1="80000000" w:usb2="00000008" w:usb3="00000000" w:csb0="000001FF" w:csb1="00000000"/>
  </w:font>
  <w:font w:name="Tahoma">
    <w:panose1 w:val="020B0604030504040204"/>
    <w:charset w:val="00"/>
    <w:family w:val="swiss"/>
    <w:pitch w:val="variable"/>
    <w:sig w:usb0="20002A87" w:usb1="80000000" w:usb2="00000008" w:usb3="00000000" w:csb0="000001FF" w:csb1="00000000"/>
  </w:font>
  <w:font w:name="Cambria Math">
    <w:panose1 w:val="02040503050406030204"/>
    <w:charset w:val="00"/>
    <w:family w:val="roman"/>
    <w:pitch w:val="variable"/>
    <w:sig w:usb0="E00002FF" w:usb1="420024FF" w:usb2="00000000" w:usb3="00000000" w:csb0="0000019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6C8247E"/>
    <w:multiLevelType w:val="hybridMultilevel"/>
    <w:tmpl w:val="CE96CB2E"/>
    <w:lvl w:ilvl="0" w:tplc="10A04FAC">
      <w:start w:val="1"/>
      <w:numFmt w:val="decimal"/>
      <w:lvlText w:val="(%1)"/>
      <w:lvlJc w:val="left"/>
      <w:pPr>
        <w:ind w:left="1125" w:hanging="765"/>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6F3D381A"/>
    <w:multiLevelType w:val="hybridMultilevel"/>
    <w:tmpl w:val="0090D75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70"/>
  <w:proofState w:spelling="clean" w:grammar="clean"/>
  <w:revisionView w:inkAnnotations="0"/>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C406E"/>
    <w:rsid w:val="000A4655"/>
    <w:rsid w:val="00257E96"/>
    <w:rsid w:val="00315ABB"/>
    <w:rsid w:val="004C5596"/>
    <w:rsid w:val="004F5DAF"/>
    <w:rsid w:val="005710C1"/>
    <w:rsid w:val="007A744A"/>
    <w:rsid w:val="007D7CC7"/>
    <w:rsid w:val="0089121A"/>
    <w:rsid w:val="009F2E0B"/>
    <w:rsid w:val="00BB058D"/>
    <w:rsid w:val="00BC406E"/>
    <w:rsid w:val="00C95D56"/>
    <w:rsid w:val="00D13749"/>
    <w:rsid w:val="00EB4BBD"/>
    <w:rsid w:val="00F76C68"/>
    <w:rsid w:val="00F94D9A"/>
  </w:rsids>
  <m:mathPr>
    <m:mathFont m:val="Cambria Math"/>
    <m:brkBin m:val="before"/>
    <m:brkBinSub m:val="--"/>
    <m:smallFrac m:val="0"/>
    <m:dispDef/>
    <m:lMargin m:val="0"/>
    <m:rMargin m:val="0"/>
    <m:defJc m:val="centerGroup"/>
    <m:wrapIndent m:val="1440"/>
    <m:intLim m:val="subSup"/>
    <m:naryLim m:val="undOvr"/>
  </m:mathPr>
  <w:themeFontLang w:val="en-US" w:eastAsia="x-none" w:bidi="x-non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C406E"/>
    <w:pPr>
      <w:spacing w:after="160" w:line="300" w:lineRule="auto"/>
      <w:jc w:val="both"/>
    </w:pPr>
    <w:rPr>
      <w:rFonts w:ascii="Arial" w:hAnsi="Arial"/>
      <w:sz w:val="24"/>
    </w:rPr>
  </w:style>
  <w:style w:type="paragraph" w:styleId="1">
    <w:name w:val="heading 1"/>
    <w:basedOn w:val="a"/>
    <w:next w:val="a"/>
    <w:link w:val="10"/>
    <w:uiPriority w:val="9"/>
    <w:qFormat/>
    <w:rsid w:val="00D13749"/>
    <w:pPr>
      <w:spacing w:after="200" w:line="276" w:lineRule="auto"/>
      <w:outlineLvl w:val="0"/>
    </w:pPr>
    <w:rPr>
      <w:rFonts w:cs="Calibri"/>
      <w:b/>
      <w:sz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BC406E"/>
    <w:rPr>
      <w:color w:val="0000FF"/>
      <w:u w:val="single"/>
    </w:rPr>
  </w:style>
  <w:style w:type="character" w:customStyle="1" w:styleId="10">
    <w:name w:val="Заголовок 1 Знак"/>
    <w:basedOn w:val="a0"/>
    <w:link w:val="1"/>
    <w:uiPriority w:val="9"/>
    <w:rsid w:val="00D13749"/>
    <w:rPr>
      <w:rFonts w:ascii="Arial" w:hAnsi="Arial" w:cs="Calibri"/>
      <w:b/>
      <w:sz w:val="28"/>
    </w:rPr>
  </w:style>
  <w:style w:type="paragraph" w:styleId="a4">
    <w:name w:val="Normal (Web)"/>
    <w:basedOn w:val="a"/>
    <w:uiPriority w:val="99"/>
    <w:unhideWhenUsed/>
    <w:rsid w:val="00D13749"/>
    <w:pPr>
      <w:spacing w:before="100" w:beforeAutospacing="1" w:after="100" w:afterAutospacing="1" w:line="240" w:lineRule="auto"/>
      <w:jc w:val="left"/>
    </w:pPr>
    <w:rPr>
      <w:rFonts w:ascii="Times New Roman" w:eastAsia="Times New Roman" w:hAnsi="Times New Roman" w:cs="Times New Roman"/>
      <w:szCs w:val="24"/>
    </w:rPr>
  </w:style>
  <w:style w:type="paragraph" w:styleId="a5">
    <w:name w:val="Balloon Text"/>
    <w:basedOn w:val="a"/>
    <w:link w:val="a6"/>
    <w:uiPriority w:val="99"/>
    <w:semiHidden/>
    <w:unhideWhenUsed/>
    <w:rsid w:val="00257E96"/>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257E96"/>
    <w:rPr>
      <w:rFonts w:ascii="Tahoma" w:hAnsi="Tahoma" w:cs="Tahoma"/>
      <w:sz w:val="16"/>
      <w:szCs w:val="16"/>
    </w:rPr>
  </w:style>
  <w:style w:type="paragraph" w:styleId="a7">
    <w:name w:val="List Paragraph"/>
    <w:basedOn w:val="a"/>
    <w:uiPriority w:val="34"/>
    <w:qFormat/>
    <w:rsid w:val="00257E96"/>
    <w:pPr>
      <w:ind w:left="720"/>
      <w:contextualSpacing/>
    </w:pPr>
  </w:style>
  <w:style w:type="table" w:styleId="a8">
    <w:name w:val="Light Shading"/>
    <w:basedOn w:val="a1"/>
    <w:uiPriority w:val="60"/>
    <w:rsid w:val="00257E96"/>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C406E"/>
    <w:pPr>
      <w:spacing w:after="160" w:line="300" w:lineRule="auto"/>
      <w:jc w:val="both"/>
    </w:pPr>
    <w:rPr>
      <w:rFonts w:ascii="Arial" w:hAnsi="Arial"/>
      <w:sz w:val="24"/>
    </w:rPr>
  </w:style>
  <w:style w:type="paragraph" w:styleId="1">
    <w:name w:val="heading 1"/>
    <w:basedOn w:val="a"/>
    <w:next w:val="a"/>
    <w:link w:val="10"/>
    <w:uiPriority w:val="9"/>
    <w:qFormat/>
    <w:rsid w:val="00D13749"/>
    <w:pPr>
      <w:spacing w:after="200" w:line="276" w:lineRule="auto"/>
      <w:outlineLvl w:val="0"/>
    </w:pPr>
    <w:rPr>
      <w:rFonts w:cs="Calibri"/>
      <w:b/>
      <w:sz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BC406E"/>
    <w:rPr>
      <w:color w:val="0000FF"/>
      <w:u w:val="single"/>
    </w:rPr>
  </w:style>
  <w:style w:type="character" w:customStyle="1" w:styleId="10">
    <w:name w:val="Заголовок 1 Знак"/>
    <w:basedOn w:val="a0"/>
    <w:link w:val="1"/>
    <w:uiPriority w:val="9"/>
    <w:rsid w:val="00D13749"/>
    <w:rPr>
      <w:rFonts w:ascii="Arial" w:hAnsi="Arial" w:cs="Calibri"/>
      <w:b/>
      <w:sz w:val="28"/>
    </w:rPr>
  </w:style>
  <w:style w:type="paragraph" w:styleId="a4">
    <w:name w:val="Normal (Web)"/>
    <w:basedOn w:val="a"/>
    <w:uiPriority w:val="99"/>
    <w:unhideWhenUsed/>
    <w:rsid w:val="00D13749"/>
    <w:pPr>
      <w:spacing w:before="100" w:beforeAutospacing="1" w:after="100" w:afterAutospacing="1" w:line="240" w:lineRule="auto"/>
      <w:jc w:val="left"/>
    </w:pPr>
    <w:rPr>
      <w:rFonts w:ascii="Times New Roman" w:eastAsia="Times New Roman" w:hAnsi="Times New Roman" w:cs="Times New Roman"/>
      <w:szCs w:val="24"/>
    </w:rPr>
  </w:style>
  <w:style w:type="paragraph" w:styleId="a5">
    <w:name w:val="Balloon Text"/>
    <w:basedOn w:val="a"/>
    <w:link w:val="a6"/>
    <w:uiPriority w:val="99"/>
    <w:semiHidden/>
    <w:unhideWhenUsed/>
    <w:rsid w:val="00257E96"/>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257E96"/>
    <w:rPr>
      <w:rFonts w:ascii="Tahoma" w:hAnsi="Tahoma" w:cs="Tahoma"/>
      <w:sz w:val="16"/>
      <w:szCs w:val="16"/>
    </w:rPr>
  </w:style>
  <w:style w:type="paragraph" w:styleId="a7">
    <w:name w:val="List Paragraph"/>
    <w:basedOn w:val="a"/>
    <w:uiPriority w:val="34"/>
    <w:qFormat/>
    <w:rsid w:val="00257E96"/>
    <w:pPr>
      <w:ind w:left="720"/>
      <w:contextualSpacing/>
    </w:pPr>
  </w:style>
  <w:style w:type="table" w:styleId="a8">
    <w:name w:val="Light Shading"/>
    <w:basedOn w:val="a1"/>
    <w:uiPriority w:val="60"/>
    <w:rsid w:val="00257E96"/>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5275512">
      <w:bodyDiv w:val="1"/>
      <w:marLeft w:val="0"/>
      <w:marRight w:val="0"/>
      <w:marTop w:val="0"/>
      <w:marBottom w:val="0"/>
      <w:divBdr>
        <w:top w:val="none" w:sz="0" w:space="0" w:color="auto"/>
        <w:left w:val="none" w:sz="0" w:space="0" w:color="auto"/>
        <w:bottom w:val="none" w:sz="0" w:space="0" w:color="auto"/>
        <w:right w:val="none" w:sz="0" w:space="0" w:color="auto"/>
      </w:divBdr>
    </w:div>
    <w:div w:id="37361185">
      <w:bodyDiv w:val="1"/>
      <w:marLeft w:val="0"/>
      <w:marRight w:val="0"/>
      <w:marTop w:val="0"/>
      <w:marBottom w:val="0"/>
      <w:divBdr>
        <w:top w:val="none" w:sz="0" w:space="0" w:color="auto"/>
        <w:left w:val="none" w:sz="0" w:space="0" w:color="auto"/>
        <w:bottom w:val="none" w:sz="0" w:space="0" w:color="auto"/>
        <w:right w:val="none" w:sz="0" w:space="0" w:color="auto"/>
      </w:divBdr>
    </w:div>
    <w:div w:id="532302802">
      <w:bodyDiv w:val="1"/>
      <w:marLeft w:val="0"/>
      <w:marRight w:val="0"/>
      <w:marTop w:val="0"/>
      <w:marBottom w:val="0"/>
      <w:divBdr>
        <w:top w:val="none" w:sz="0" w:space="0" w:color="auto"/>
        <w:left w:val="none" w:sz="0" w:space="0" w:color="auto"/>
        <w:bottom w:val="none" w:sz="0" w:space="0" w:color="auto"/>
        <w:right w:val="none" w:sz="0" w:space="0" w:color="auto"/>
      </w:divBdr>
    </w:div>
    <w:div w:id="545482716">
      <w:bodyDiv w:val="1"/>
      <w:marLeft w:val="0"/>
      <w:marRight w:val="0"/>
      <w:marTop w:val="0"/>
      <w:marBottom w:val="0"/>
      <w:divBdr>
        <w:top w:val="none" w:sz="0" w:space="0" w:color="auto"/>
        <w:left w:val="none" w:sz="0" w:space="0" w:color="auto"/>
        <w:bottom w:val="none" w:sz="0" w:space="0" w:color="auto"/>
        <w:right w:val="none" w:sz="0" w:space="0" w:color="auto"/>
      </w:divBdr>
    </w:div>
    <w:div w:id="18219237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3" Type="http://schemas.microsoft.com/office/2007/relationships/stylesWithEffects" Target="stylesWithEffects.xml"/><Relationship Id="rId7" Type="http://schemas.openxmlformats.org/officeDocument/2006/relationships/image" Target="media/image2.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png"/><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4.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34</TotalTime>
  <Pages>5</Pages>
  <Words>1219</Words>
  <Characters>6954</Characters>
  <Application>Microsoft Office Word</Application>
  <DocSecurity>0</DocSecurity>
  <Lines>57</Lines>
  <Paragraphs>16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8157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boris</dc:creator>
  <cp:keywords/>
  <dc:description/>
  <cp:lastModifiedBy>boris</cp:lastModifiedBy>
  <cp:revision>14</cp:revision>
  <dcterms:created xsi:type="dcterms:W3CDTF">2024-06-28T11:02:00Z</dcterms:created>
  <dcterms:modified xsi:type="dcterms:W3CDTF">2024-06-28T15:08:00Z</dcterms:modified>
</cp:coreProperties>
</file>