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C0C" w:rsidRPr="003F6C0C" w:rsidRDefault="003F6C0C">
      <w:pPr>
        <w:spacing w:line="240" w:lineRule="auto"/>
        <w:rPr>
          <w:szCs w:val="22"/>
        </w:rPr>
      </w:pPr>
      <w:bookmarkStart w:id="0" w:name="_GoBack"/>
      <w:bookmarkEnd w:id="0"/>
      <w:r w:rsidRPr="003F6C0C">
        <w:rPr>
          <w:b/>
          <w:sz w:val="22"/>
          <w:szCs w:val="22"/>
        </w:rPr>
        <w:t>Supplement E</w:t>
      </w:r>
      <w:r w:rsidR="00870D97" w:rsidRPr="003F6C0C">
        <w:rPr>
          <w:sz w:val="22"/>
          <w:szCs w:val="22"/>
        </w:rPr>
        <w:t xml:space="preserve"> </w:t>
      </w:r>
      <w:bookmarkStart w:id="1" w:name="_Hlk9258897"/>
    </w:p>
    <w:p w:rsidR="003F6C0C" w:rsidRPr="003F6C0C" w:rsidRDefault="003F6C0C">
      <w:pPr>
        <w:spacing w:line="240" w:lineRule="auto"/>
        <w:rPr>
          <w:szCs w:val="22"/>
        </w:rPr>
      </w:pPr>
    </w:p>
    <w:p w:rsidR="00D73A12" w:rsidRPr="003F6C0C" w:rsidRDefault="00870D97">
      <w:pPr>
        <w:spacing w:line="240" w:lineRule="auto"/>
        <w:rPr>
          <w:b/>
          <w:szCs w:val="22"/>
        </w:rPr>
      </w:pPr>
      <w:r w:rsidRPr="003F6C0C">
        <w:rPr>
          <w:b/>
          <w:szCs w:val="22"/>
        </w:rPr>
        <w:t>Extent of stressors, stress reactions and long-term consequences among registered nurses and nurse assistants</w:t>
      </w:r>
      <w:bookmarkEnd w:id="1"/>
      <w:r w:rsidRPr="003F6C0C">
        <w:rPr>
          <w:b/>
          <w:szCs w:val="22"/>
        </w:rPr>
        <w:t xml:space="preserve"> working in different healthcare sectors</w:t>
      </w:r>
    </w:p>
    <w:p w:rsidR="00D73A12" w:rsidRDefault="00D73A12">
      <w:pPr>
        <w:spacing w:line="240" w:lineRule="auto"/>
        <w:rPr>
          <w:szCs w:val="22"/>
        </w:rPr>
      </w:pPr>
    </w:p>
    <w:tbl>
      <w:tblPr>
        <w:tblStyle w:val="Tabellenraster"/>
        <w:tblW w:w="14778" w:type="dxa"/>
        <w:tblLayout w:type="fixed"/>
        <w:tblLook w:val="04A0" w:firstRow="1" w:lastRow="0" w:firstColumn="1" w:lastColumn="0" w:noHBand="0" w:noVBand="1"/>
      </w:tblPr>
      <w:tblGrid>
        <w:gridCol w:w="3114"/>
        <w:gridCol w:w="649"/>
        <w:gridCol w:w="647"/>
        <w:gridCol w:w="649"/>
        <w:gridCol w:w="647"/>
        <w:gridCol w:w="649"/>
        <w:gridCol w:w="647"/>
        <w:gridCol w:w="649"/>
        <w:gridCol w:w="647"/>
        <w:gridCol w:w="649"/>
        <w:gridCol w:w="647"/>
        <w:gridCol w:w="649"/>
        <w:gridCol w:w="647"/>
        <w:gridCol w:w="649"/>
        <w:gridCol w:w="647"/>
        <w:gridCol w:w="649"/>
        <w:gridCol w:w="647"/>
        <w:gridCol w:w="649"/>
        <w:gridCol w:w="647"/>
      </w:tblGrid>
      <w:tr w:rsidR="00D73A12">
        <w:tc>
          <w:tcPr>
            <w:tcW w:w="3113" w:type="dxa"/>
            <w:vMerge w:val="restart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1296" w:type="dxa"/>
            <w:gridSpan w:val="2"/>
            <w:vMerge w:val="restart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sz w:val="16"/>
                <w:szCs w:val="16"/>
              </w:rPr>
              <w:t>Overall  (n=19,340)</w:t>
            </w:r>
          </w:p>
        </w:tc>
        <w:tc>
          <w:tcPr>
            <w:tcW w:w="5184" w:type="dxa"/>
            <w:gridSpan w:val="8"/>
          </w:tcPr>
          <w:p w:rsidR="00D73A12" w:rsidRDefault="00870D97">
            <w:pPr>
              <w:spacing w:after="120"/>
              <w:rPr>
                <w:rFonts w:cs="Arial"/>
                <w:sz w:val="16"/>
                <w:szCs w:val="16"/>
              </w:rPr>
            </w:pPr>
            <w:r>
              <w:rPr>
                <w:rFonts w:eastAsia="MS Mincho" w:cs="Arial"/>
                <w:sz w:val="16"/>
                <w:szCs w:val="16"/>
              </w:rPr>
              <w:t>Registered Nurses</w:t>
            </w:r>
          </w:p>
        </w:tc>
        <w:tc>
          <w:tcPr>
            <w:tcW w:w="5184" w:type="dxa"/>
            <w:gridSpan w:val="8"/>
          </w:tcPr>
          <w:p w:rsidR="00D73A12" w:rsidRDefault="00870D9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eastAsia="MS Mincho" w:cs="Arial"/>
                <w:sz w:val="16"/>
                <w:szCs w:val="16"/>
              </w:rPr>
              <w:t>Nurse Assistants</w:t>
            </w:r>
          </w:p>
        </w:tc>
      </w:tr>
      <w:tr w:rsidR="00D73A12">
        <w:tc>
          <w:tcPr>
            <w:tcW w:w="3113" w:type="dxa"/>
            <w:vMerge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1296" w:type="dxa"/>
            <w:gridSpan w:val="2"/>
            <w:vMerge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1296" w:type="dxa"/>
            <w:gridSpan w:val="2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sz w:val="16"/>
                <w:szCs w:val="16"/>
              </w:rPr>
              <w:t>Acute care / rehab. hospitals (n=4,092)</w:t>
            </w:r>
          </w:p>
        </w:tc>
        <w:tc>
          <w:tcPr>
            <w:tcW w:w="1296" w:type="dxa"/>
            <w:gridSpan w:val="2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sz w:val="16"/>
                <w:szCs w:val="16"/>
              </w:rPr>
              <w:t>Psychiatric hospitals (n=1,902)</w:t>
            </w:r>
          </w:p>
        </w:tc>
        <w:tc>
          <w:tcPr>
            <w:tcW w:w="1296" w:type="dxa"/>
            <w:gridSpan w:val="2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sz w:val="16"/>
                <w:szCs w:val="16"/>
              </w:rPr>
              <w:t>Nursing homes (n=931)</w:t>
            </w:r>
          </w:p>
        </w:tc>
        <w:tc>
          <w:tcPr>
            <w:tcW w:w="1296" w:type="dxa"/>
            <w:gridSpan w:val="2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sz w:val="16"/>
                <w:szCs w:val="16"/>
              </w:rPr>
              <w:t>Home care organisations (n=1,277)</w:t>
            </w:r>
          </w:p>
        </w:tc>
        <w:tc>
          <w:tcPr>
            <w:tcW w:w="1296" w:type="dxa"/>
            <w:gridSpan w:val="2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sz w:val="16"/>
                <w:szCs w:val="16"/>
              </w:rPr>
              <w:t>Acute care / rehab. hospitals (n=838)</w:t>
            </w:r>
          </w:p>
        </w:tc>
        <w:tc>
          <w:tcPr>
            <w:tcW w:w="1296" w:type="dxa"/>
            <w:gridSpan w:val="2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sz w:val="16"/>
                <w:szCs w:val="16"/>
              </w:rPr>
              <w:t>Psychiatric hospitals (n=350)</w:t>
            </w:r>
          </w:p>
        </w:tc>
        <w:tc>
          <w:tcPr>
            <w:tcW w:w="1296" w:type="dxa"/>
            <w:gridSpan w:val="2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sz w:val="16"/>
                <w:szCs w:val="16"/>
              </w:rPr>
              <w:t>Nursing homes (n=1,668)</w:t>
            </w:r>
          </w:p>
        </w:tc>
        <w:tc>
          <w:tcPr>
            <w:tcW w:w="1296" w:type="dxa"/>
            <w:gridSpan w:val="2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sz w:val="16"/>
                <w:szCs w:val="16"/>
              </w:rPr>
              <w:t>Home care organisations (n=807)</w:t>
            </w:r>
          </w:p>
        </w:tc>
      </w:tr>
      <w:tr w:rsidR="00D73A12">
        <w:tc>
          <w:tcPr>
            <w:tcW w:w="3113" w:type="dxa"/>
            <w:vMerge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</w:tr>
      <w:tr w:rsidR="00D73A12">
        <w:tc>
          <w:tcPr>
            <w:tcW w:w="14777" w:type="dxa"/>
            <w:gridSpan w:val="19"/>
            <w:shd w:val="clear" w:color="auto" w:fill="F2F2F2" w:themeFill="background1" w:themeFillShade="F2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Stressors at work</w:t>
            </w: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Quantitative demands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54.5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17.3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60.2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51.8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57.9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50.2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55.9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44.6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51.0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46.0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15.8</w:t>
            </w: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Sensorial demands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83.1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14.6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88.8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11.5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78.1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85.1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84.9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12.7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86.0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77.7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84.6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86.6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11.6</w:t>
            </w: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Emotional demands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60.5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15.5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61.9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61.9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12.9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70.4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56.0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11.9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64.4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61.9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69.7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55.7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12.2</w:t>
            </w: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Physical demands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36.5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22.6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42.4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39.5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34.2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53.7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25.8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52.5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42.2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19.0</w:t>
            </w: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 xml:space="preserve">Demands to hide emotions 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39.6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22.7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42.0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40.6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35.7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34.3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40.5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38.8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35.4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24.2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38.1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23.3</w:t>
            </w: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Work environment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33.3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19.4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41.7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34.1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31.5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30.5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38.9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32.9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30.6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36.6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15.9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 xml:space="preserve">Opportunities for development 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71.0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15.5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72.8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70.4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71.5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70.1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70.5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69.5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67.2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69.4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14.3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Influence at work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51.5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20.2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47.8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56.8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55.7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56.9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45.8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54.0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49.2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45.0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19.3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Scope for breaks / holidays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61.1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20.8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57.6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63.8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60.9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68.9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52.7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59.4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53.6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68.8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18.5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Meaning of work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83.5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16.1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83.4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78.1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86.9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87.0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81.8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77.8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87.4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88.4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13.2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Bond with the organisation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62.7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20.6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59.8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58.4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64.2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69.1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63.0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63.5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63.3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70.0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19.5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 xml:space="preserve">Predictability 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63.8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19.8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62.8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61.5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65.3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68.6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65.2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65.4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64.3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69.0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17.4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 xml:space="preserve">Rewards 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58.6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26.0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54.9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25.7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54.2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26.2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62.9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24.3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69.1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55.4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26.3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58.7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25.7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60.6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25.0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66.9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23.1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Role clarity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78.1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14.8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80.1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74.5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80.9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78.6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79.2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74.4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80.2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79.2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13.2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Role conflicts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36.0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20.5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40.4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40.5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34.7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29.2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39.5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34.7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35.0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28.7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17.6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color w:val="000000"/>
                <w:kern w:val="2"/>
                <w:sz w:val="16"/>
                <w:szCs w:val="16"/>
              </w:rPr>
              <w:t>Quality of leadership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64.5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22.3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63.8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63.9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64.6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68.2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65.0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67.5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64.9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68.8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18.6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Social support at work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77.1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17.1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76.2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78.9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77.7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80.2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74.5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81.1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75.7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81.2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16.2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Feedback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50.5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20.8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49.7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52.8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53.8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49.3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53.6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57.2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52.7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49.6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20.6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Social relations at work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58.0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27.2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63.7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66.3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60.5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24.6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37.9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29.8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67.4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73.7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61.0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24.9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33.7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29.6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Social community at work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79.9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14.7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78.9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79.7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78.6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82.5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78.4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80.4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78.0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82.2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13.9</w:t>
            </w: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Unfair behaviour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13.7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21.4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12.7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25.3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25.1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10.1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18.3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Insecurity of the working environment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28.4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25.1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31.3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25.6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28.9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24.0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36.7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26.9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28.4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25.2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33.5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27.3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27.0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23.3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Work–private life conflict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28.1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20.9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31.3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28.6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28.4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24.8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31.9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26.4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29.4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17.8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Demarcation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32.2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Cs w:val="22"/>
              </w:rPr>
            </w:pPr>
            <w:r>
              <w:rPr>
                <w:rFonts w:eastAsia="MS Mincho"/>
                <w:sz w:val="16"/>
              </w:rPr>
              <w:t>22.1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33.6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29.2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35.8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31.7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34.7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27.2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31.7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28.1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20.8</w:t>
            </w:r>
          </w:p>
        </w:tc>
      </w:tr>
      <w:tr w:rsidR="00D73A12">
        <w:tc>
          <w:tcPr>
            <w:tcW w:w="3113" w:type="dxa"/>
            <w:shd w:val="clear" w:color="auto" w:fill="F2F2F2" w:themeFill="background1" w:themeFillShade="F2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Stress reactions</w:t>
            </w:r>
          </w:p>
        </w:tc>
        <w:tc>
          <w:tcPr>
            <w:tcW w:w="649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9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9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9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9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9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9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9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9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Behavioural stress symptoms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29.9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30.9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22.4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30.1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29.8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22.1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26.1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35.4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23.6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31.6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31.2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22.7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29.7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21.4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 xml:space="preserve">Cognitive stress symptoms 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26.7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27.7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25.1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26.0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25.8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17.5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31.0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27.4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27.1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26.8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18.1</w:t>
            </w:r>
          </w:p>
        </w:tc>
      </w:tr>
      <w:tr w:rsidR="00D73A12">
        <w:tc>
          <w:tcPr>
            <w:tcW w:w="14777" w:type="dxa"/>
            <w:gridSpan w:val="19"/>
            <w:shd w:val="clear" w:color="auto" w:fill="F2F2F2" w:themeFill="background1" w:themeFillShade="F2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ERI</w:t>
            </w: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Effort–reward imbalance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0.3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0.3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0.3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0.4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0.3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0.3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0.3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0.3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0.3</w:t>
            </w:r>
          </w:p>
        </w:tc>
      </w:tr>
      <w:tr w:rsidR="00D73A12">
        <w:tc>
          <w:tcPr>
            <w:tcW w:w="14777" w:type="dxa"/>
            <w:gridSpan w:val="19"/>
            <w:shd w:val="clear" w:color="auto" w:fill="F2F2F2" w:themeFill="background1" w:themeFillShade="F2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Long-term consequences</w:t>
            </w: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Work-Ability Index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36.5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4.9</w:t>
            </w:r>
          </w:p>
        </w:tc>
        <w:tc>
          <w:tcPr>
            <w:tcW w:w="64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36.8</w:t>
            </w:r>
          </w:p>
        </w:tc>
        <w:tc>
          <w:tcPr>
            <w:tcW w:w="64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4.6</w:t>
            </w:r>
          </w:p>
        </w:tc>
        <w:tc>
          <w:tcPr>
            <w:tcW w:w="64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37.2</w:t>
            </w:r>
          </w:p>
        </w:tc>
        <w:tc>
          <w:tcPr>
            <w:tcW w:w="64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5.0</w:t>
            </w:r>
          </w:p>
        </w:tc>
        <w:tc>
          <w:tcPr>
            <w:tcW w:w="64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35.8</w:t>
            </w:r>
          </w:p>
        </w:tc>
        <w:tc>
          <w:tcPr>
            <w:tcW w:w="64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5.1</w:t>
            </w:r>
          </w:p>
        </w:tc>
        <w:tc>
          <w:tcPr>
            <w:tcW w:w="64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36.4</w:t>
            </w:r>
          </w:p>
        </w:tc>
        <w:tc>
          <w:tcPr>
            <w:tcW w:w="64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4.9</w:t>
            </w:r>
          </w:p>
        </w:tc>
        <w:tc>
          <w:tcPr>
            <w:tcW w:w="64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35.5</w:t>
            </w:r>
          </w:p>
        </w:tc>
        <w:tc>
          <w:tcPr>
            <w:tcW w:w="64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4.8</w:t>
            </w:r>
          </w:p>
        </w:tc>
        <w:tc>
          <w:tcPr>
            <w:tcW w:w="64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36.8</w:t>
            </w:r>
          </w:p>
        </w:tc>
        <w:tc>
          <w:tcPr>
            <w:tcW w:w="64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4.4</w:t>
            </w:r>
          </w:p>
        </w:tc>
        <w:tc>
          <w:tcPr>
            <w:tcW w:w="64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35.2</w:t>
            </w:r>
          </w:p>
        </w:tc>
        <w:tc>
          <w:tcPr>
            <w:tcW w:w="64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5.0</w:t>
            </w:r>
          </w:p>
        </w:tc>
        <w:tc>
          <w:tcPr>
            <w:tcW w:w="649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36.0</w:t>
            </w:r>
          </w:p>
        </w:tc>
        <w:tc>
          <w:tcPr>
            <w:tcW w:w="64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4.9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Job satisfaction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70.4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14.7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69.2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14.5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70.3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14.9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70.8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15.0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72.5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13.4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67.7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14.1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71.3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15.5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68.6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14.7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72.2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13.3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 xml:space="preserve">Intention to leave the organisation 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22.7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22.4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22.9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24.0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23.3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22.7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16.7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23.9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24.2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17.0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23.3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23.9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16.9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21.7</w:t>
            </w: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Intention to leave the profession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16.1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21.4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15.8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14.9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22.8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24.3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16.0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16.9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23.2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15.1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21.8</w:t>
            </w: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General health status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79.0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17.0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80.4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16.8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77.9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16.6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79.0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16.6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79.8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15.6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74.9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77.6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17.2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76.6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17.8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78.7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15.2</w:t>
            </w: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lastRenderedPageBreak/>
              <w:t>Burnout symptoms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42.2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43.0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40.6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42.9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22.5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40.2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48.6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21.3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40.4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44.3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22.7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42.6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20.0</w:t>
            </w: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Quality of sleep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68.8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66.4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68.6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69.0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72.3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17.6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64.6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66.9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67.7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71.1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18.6</w:t>
            </w:r>
          </w:p>
        </w:tc>
      </w:tr>
    </w:tbl>
    <w:p w:rsidR="00D73A12" w:rsidRDefault="00870D97">
      <w:pPr>
        <w:spacing w:line="240" w:lineRule="auto"/>
        <w:rPr>
          <w:szCs w:val="22"/>
        </w:rPr>
      </w:pPr>
      <w:r>
        <w:rPr>
          <w:rFonts w:cs="Arial"/>
          <w:sz w:val="18"/>
          <w:szCs w:val="18"/>
        </w:rPr>
        <w:t>Mean and standard deviation (SD), all scales are scored from 0 (minimum value) to 100 (maximum value) except for ERI (cut-off &gt;1 is considered to be indicative of an imbalance between effort and reward) and WAI (7–49), N=number of cases in total, M=mean, SD= standard deviation</w:t>
      </w:r>
    </w:p>
    <w:p w:rsidR="00D73A12" w:rsidRDefault="00D73A12">
      <w:pPr>
        <w:spacing w:line="240" w:lineRule="auto"/>
        <w:rPr>
          <w:szCs w:val="22"/>
        </w:rPr>
      </w:pPr>
    </w:p>
    <w:p w:rsidR="00D73A12" w:rsidRPr="003F6C0C" w:rsidRDefault="00870D97">
      <w:pPr>
        <w:spacing w:line="240" w:lineRule="auto"/>
        <w:rPr>
          <w:b/>
          <w:szCs w:val="22"/>
        </w:rPr>
      </w:pPr>
      <w:r w:rsidRPr="003F6C0C">
        <w:rPr>
          <w:b/>
          <w:szCs w:val="22"/>
        </w:rPr>
        <w:t>Extent of stressors, stress reactions and long-term consequences among physicians, medical-therapeutic, medical-technical professionals and midwives working in different healthcare sectors</w:t>
      </w:r>
    </w:p>
    <w:p w:rsidR="00D73A12" w:rsidRDefault="00D73A12">
      <w:pPr>
        <w:spacing w:line="240" w:lineRule="auto"/>
        <w:rPr>
          <w:szCs w:val="22"/>
        </w:rPr>
      </w:pPr>
    </w:p>
    <w:tbl>
      <w:tblPr>
        <w:tblStyle w:val="Tabellenraster"/>
        <w:tblW w:w="13492" w:type="dxa"/>
        <w:tblLayout w:type="fixed"/>
        <w:tblLook w:val="04A0" w:firstRow="1" w:lastRow="0" w:firstColumn="1" w:lastColumn="0" w:noHBand="0" w:noVBand="1"/>
      </w:tblPr>
      <w:tblGrid>
        <w:gridCol w:w="3043"/>
        <w:gridCol w:w="638"/>
        <w:gridCol w:w="639"/>
        <w:gridCol w:w="638"/>
        <w:gridCol w:w="637"/>
        <w:gridCol w:w="638"/>
        <w:gridCol w:w="639"/>
        <w:gridCol w:w="637"/>
        <w:gridCol w:w="638"/>
        <w:gridCol w:w="639"/>
        <w:gridCol w:w="638"/>
        <w:gridCol w:w="637"/>
        <w:gridCol w:w="638"/>
        <w:gridCol w:w="639"/>
        <w:gridCol w:w="637"/>
        <w:gridCol w:w="638"/>
        <w:gridCol w:w="643"/>
        <w:gridCol w:w="236"/>
      </w:tblGrid>
      <w:tr w:rsidR="00D73A12">
        <w:tc>
          <w:tcPr>
            <w:tcW w:w="3113" w:type="dxa"/>
            <w:vMerge w:val="restart"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1297" w:type="dxa"/>
            <w:gridSpan w:val="2"/>
            <w:vMerge w:val="restart"/>
          </w:tcPr>
          <w:p w:rsidR="00D73A12" w:rsidRDefault="00870D9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eastAsia="MS Mincho" w:cs="Arial"/>
                <w:sz w:val="16"/>
                <w:szCs w:val="16"/>
              </w:rPr>
              <w:t>Overall  (n=19,340)</w:t>
            </w:r>
          </w:p>
        </w:tc>
        <w:tc>
          <w:tcPr>
            <w:tcW w:w="2592" w:type="dxa"/>
            <w:gridSpan w:val="4"/>
          </w:tcPr>
          <w:p w:rsidR="00D73A12" w:rsidRDefault="00870D9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eastAsia="MS Mincho" w:cs="Arial"/>
                <w:sz w:val="16"/>
                <w:szCs w:val="16"/>
              </w:rPr>
              <w:t>Physicians</w:t>
            </w:r>
          </w:p>
        </w:tc>
        <w:tc>
          <w:tcPr>
            <w:tcW w:w="3887" w:type="dxa"/>
            <w:gridSpan w:val="6"/>
          </w:tcPr>
          <w:p w:rsidR="00D73A12" w:rsidRDefault="00870D9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>Medical-therapeutic professionals</w:t>
            </w:r>
          </w:p>
        </w:tc>
        <w:tc>
          <w:tcPr>
            <w:tcW w:w="1296" w:type="dxa"/>
            <w:gridSpan w:val="2"/>
          </w:tcPr>
          <w:p w:rsidR="00D73A12" w:rsidRDefault="00870D9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eastAsia="MS Mincho" w:cs="Arial"/>
                <w:sz w:val="16"/>
                <w:szCs w:val="16"/>
              </w:rPr>
              <w:t>Medical-technical professionals</w:t>
            </w:r>
          </w:p>
        </w:tc>
        <w:tc>
          <w:tcPr>
            <w:tcW w:w="1301" w:type="dxa"/>
            <w:gridSpan w:val="2"/>
          </w:tcPr>
          <w:p w:rsidR="00D73A12" w:rsidRDefault="00870D97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eastAsia="MS Mincho" w:cs="Arial"/>
                <w:sz w:val="16"/>
                <w:szCs w:val="16"/>
              </w:rPr>
              <w:t>Midwives</w:t>
            </w:r>
          </w:p>
          <w:p w:rsidR="00D73A12" w:rsidRDefault="00D73A12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Merge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1297" w:type="dxa"/>
            <w:gridSpan w:val="2"/>
            <w:vMerge/>
          </w:tcPr>
          <w:p w:rsidR="00D73A12" w:rsidRDefault="00D73A12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295" w:type="dxa"/>
            <w:gridSpan w:val="2"/>
          </w:tcPr>
          <w:p w:rsidR="00D73A12" w:rsidRDefault="00870D9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eastAsia="MS Mincho" w:cs="Arial"/>
                <w:sz w:val="16"/>
                <w:szCs w:val="16"/>
              </w:rPr>
              <w:t>Acute care / rehab. hospitals (n=649)</w:t>
            </w:r>
          </w:p>
        </w:tc>
        <w:tc>
          <w:tcPr>
            <w:tcW w:w="1297" w:type="dxa"/>
            <w:gridSpan w:val="2"/>
          </w:tcPr>
          <w:p w:rsidR="00D73A12" w:rsidRDefault="00870D9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eastAsia="MS Mincho" w:cs="Arial"/>
                <w:sz w:val="16"/>
                <w:szCs w:val="16"/>
              </w:rPr>
              <w:t>Psychiatric hospitals (n=413)</w:t>
            </w:r>
          </w:p>
        </w:tc>
        <w:tc>
          <w:tcPr>
            <w:tcW w:w="1295" w:type="dxa"/>
            <w:gridSpan w:val="2"/>
          </w:tcPr>
          <w:p w:rsidR="00D73A12" w:rsidRDefault="00870D9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eastAsia="MS Mincho" w:cs="Arial"/>
                <w:sz w:val="16"/>
                <w:szCs w:val="16"/>
              </w:rPr>
              <w:t>Acute care / rehab. hospitals (n=656)</w:t>
            </w:r>
          </w:p>
        </w:tc>
        <w:tc>
          <w:tcPr>
            <w:tcW w:w="1297" w:type="dxa"/>
            <w:gridSpan w:val="2"/>
          </w:tcPr>
          <w:p w:rsidR="00D73A12" w:rsidRDefault="00870D9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eastAsia="MS Mincho" w:cs="Arial"/>
                <w:sz w:val="16"/>
                <w:szCs w:val="16"/>
              </w:rPr>
              <w:t>Psychiatric hospitals (n=694)</w:t>
            </w:r>
          </w:p>
        </w:tc>
        <w:tc>
          <w:tcPr>
            <w:tcW w:w="1295" w:type="dxa"/>
            <w:gridSpan w:val="2"/>
          </w:tcPr>
          <w:p w:rsidR="00D73A12" w:rsidRDefault="00870D9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eastAsia="MS Mincho"/>
                <w:sz w:val="16"/>
                <w:szCs w:val="16"/>
              </w:rPr>
              <w:t xml:space="preserve">Nursing homes </w:t>
            </w:r>
            <w:r>
              <w:rPr>
                <w:rFonts w:eastAsia="MS Mincho" w:cs="Arial"/>
                <w:sz w:val="16"/>
                <w:szCs w:val="16"/>
              </w:rPr>
              <w:t>(n=159)</w:t>
            </w:r>
          </w:p>
        </w:tc>
        <w:tc>
          <w:tcPr>
            <w:tcW w:w="1296" w:type="dxa"/>
            <w:gridSpan w:val="2"/>
          </w:tcPr>
          <w:p w:rsidR="00D73A12" w:rsidRDefault="00870D9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eastAsia="MS Mincho" w:cs="Arial"/>
                <w:sz w:val="16"/>
                <w:szCs w:val="16"/>
              </w:rPr>
              <w:t>Acute care / rehab. hospitals (n=523)</w:t>
            </w:r>
          </w:p>
        </w:tc>
        <w:tc>
          <w:tcPr>
            <w:tcW w:w="1301" w:type="dxa"/>
            <w:gridSpan w:val="2"/>
          </w:tcPr>
          <w:p w:rsidR="00D73A12" w:rsidRDefault="00870D97">
            <w:pPr>
              <w:spacing w:line="240" w:lineRule="auto"/>
              <w:rPr>
                <w:sz w:val="16"/>
                <w:szCs w:val="16"/>
              </w:rPr>
            </w:pPr>
            <w:r>
              <w:rPr>
                <w:rFonts w:eastAsia="MS Mincho" w:cs="Arial"/>
                <w:sz w:val="16"/>
                <w:szCs w:val="16"/>
              </w:rPr>
              <w:t>Acute care / rehab. hospitals (n=170)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Merge/>
          </w:tcPr>
          <w:p w:rsidR="00D73A12" w:rsidRDefault="00D73A12">
            <w:pPr>
              <w:spacing w:line="240" w:lineRule="auto"/>
              <w:rPr>
                <w:szCs w:val="22"/>
              </w:rPr>
            </w:pP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Mean</w:t>
            </w:r>
          </w:p>
        </w:tc>
        <w:tc>
          <w:tcPr>
            <w:tcW w:w="65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/>
                <w:sz w:val="16"/>
                <w:szCs w:val="16"/>
              </w:rPr>
              <w:t>SD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13488" w:type="dxa"/>
            <w:gridSpan w:val="18"/>
            <w:shd w:val="clear" w:color="auto" w:fill="F2F2F2" w:themeFill="background1" w:themeFillShade="F2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Stressors at work</w:t>
            </w: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Quantitative demands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54.5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17.3</w:t>
            </w:r>
          </w:p>
        </w:tc>
        <w:tc>
          <w:tcPr>
            <w:tcW w:w="648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66.7</w:t>
            </w:r>
          </w:p>
        </w:tc>
        <w:tc>
          <w:tcPr>
            <w:tcW w:w="647" w:type="dxa"/>
            <w:tcBorders>
              <w:top w:val="single" w:sz="4" w:space="0" w:color="993366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16.2</w:t>
            </w:r>
          </w:p>
        </w:tc>
        <w:tc>
          <w:tcPr>
            <w:tcW w:w="648" w:type="dxa"/>
            <w:tcBorders>
              <w:top w:val="single" w:sz="4" w:space="0" w:color="993366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58.8</w:t>
            </w:r>
          </w:p>
        </w:tc>
        <w:tc>
          <w:tcPr>
            <w:tcW w:w="649" w:type="dxa"/>
            <w:tcBorders>
              <w:top w:val="single" w:sz="4" w:space="0" w:color="993366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55.7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51.3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45.9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17.2</w:t>
            </w:r>
          </w:p>
        </w:tc>
        <w:tc>
          <w:tcPr>
            <w:tcW w:w="649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57.4</w:t>
            </w:r>
          </w:p>
        </w:tc>
        <w:tc>
          <w:tcPr>
            <w:tcW w:w="647" w:type="dxa"/>
            <w:tcBorders>
              <w:top w:val="single" w:sz="4" w:space="0" w:color="993366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13.2</w:t>
            </w:r>
          </w:p>
        </w:tc>
        <w:tc>
          <w:tcPr>
            <w:tcW w:w="648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62.1</w:t>
            </w:r>
          </w:p>
        </w:tc>
        <w:tc>
          <w:tcPr>
            <w:tcW w:w="653" w:type="dxa"/>
            <w:tcBorders>
              <w:top w:val="single" w:sz="4" w:space="0" w:color="993366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11.0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Sensorial demands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83.1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14.6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84.3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72.2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78.9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72.4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82.5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12.6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86.3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12.7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88.3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11.0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Emotional demands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60.5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15.5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59.5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12.7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63.8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12.1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57.5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11.7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57.3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11.2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65.7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14.2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53.0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16.7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44.0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12.4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Physical demands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36.5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22.6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11.9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36.2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12.8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10.9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31.8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21.7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42.9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20.7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34.4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16.2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 xml:space="preserve">Demands to hide emotions 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39.6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22.7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43.6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44.2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42.4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44.1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36.9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22.9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43.7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22.2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46.2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17.4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Work environment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33.3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19.4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28.5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28.6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18.1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16.7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45.0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18.3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30.1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16.4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 xml:space="preserve">Opportunities for development 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71.0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15.5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75.8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76.0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72.5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74.1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71.8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16.1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72.7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14.2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74.6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12.5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Influence at work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51.5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20.2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49.6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57.5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57.3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63.1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64.2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19.2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40.8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21.1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46.2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16.5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Scope for breaks / holidays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61.1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20.8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60.7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67.8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54.0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71.4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63.4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23.1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61.0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17.7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55.3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19.4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Meaning of work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83.5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16.1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81.4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17.4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80.5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80.1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81.4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89.8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14.7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83.9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15.8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89.6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13.3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Bond with the organsation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62.7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20.6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60.8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62.2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59.6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60.7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68.4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22.0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62.7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18.7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58.4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19.1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 xml:space="preserve">Predictability 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63.8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19.8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61.1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61.7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60.9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60.7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64.3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22.3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60.6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18.3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63.6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16.9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 xml:space="preserve">Rewards 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58.6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26.0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57.8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27.0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61.9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25.2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51.5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26.7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56.2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25.4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66.3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26.5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52.2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25.9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50.2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23.1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Role clarity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78.1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14.8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76.7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73.6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76.5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71.4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77.6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16.6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79.4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14.8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79.1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12.1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Role conflicts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36.0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20.5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40.0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40.1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35.4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32.5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28.2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20.0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36.4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18.9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46.4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18.6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color w:val="000000"/>
                <w:kern w:val="2"/>
                <w:sz w:val="16"/>
                <w:szCs w:val="16"/>
              </w:rPr>
              <w:t>Quality of leadership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64.5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22.3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61.1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63.8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62.3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64.4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67.6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20.1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57.9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23.4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58.3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21.5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sz w:val="16"/>
                <w:szCs w:val="16"/>
              </w:rPr>
              <w:t>Social support at work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77.1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17.1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73.3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74.6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77.8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78.7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78.7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16.7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73.8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17.5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74.9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16.3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Feedback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50.5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  <w:szCs w:val="22"/>
              </w:rPr>
            </w:pPr>
            <w:r>
              <w:rPr>
                <w:rFonts w:eastAsia="MS Mincho"/>
                <w:sz w:val="16"/>
              </w:rPr>
              <w:t>20.8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43.7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51.2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47.4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44.9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56.7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17.8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45.9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21.4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51.9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17.6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rPr>
          <w:trHeight w:val="60"/>
        </w:trPr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Social relations at work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58.0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27.2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63.0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24.7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55.7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27.2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54.4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26.9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44.3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27.6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59.7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24.5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71.4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23.1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60.0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21.8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Social community at work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79.9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14.7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81.3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79.1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83.1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81.2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81.8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15.1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79.0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13.7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79.7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Unfair behaviour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21.4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13.9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12.2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9.9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10.0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11.9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19.8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22.2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23.3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Insecurity of the working environment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28.4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25.1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28.8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23.6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22.8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26.7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24.0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19.0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25.1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25.3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35.6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24.2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28.5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24.3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lastRenderedPageBreak/>
              <w:t>Work–private life conflict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28.1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20.9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47.8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40.5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23.3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22.8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19.0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26.3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18.4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34.1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17.3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Demarcation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32.2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22.1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993366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50.2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993366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25.7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993366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39.6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993366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25.3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31.0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26.9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32.2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21.7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993366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36.9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993366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22.3</w:t>
            </w:r>
          </w:p>
        </w:tc>
        <w:tc>
          <w:tcPr>
            <w:tcW w:w="648" w:type="dxa"/>
            <w:tcBorders>
              <w:top w:val="nil"/>
              <w:left w:val="single" w:sz="4" w:space="0" w:color="333399"/>
              <w:bottom w:val="single" w:sz="4" w:space="0" w:color="993366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36.6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993366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19.1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13488" w:type="dxa"/>
            <w:gridSpan w:val="18"/>
            <w:shd w:val="clear" w:color="auto" w:fill="F2F2F2" w:themeFill="background1" w:themeFillShade="F2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Stress reactions</w:t>
            </w:r>
          </w:p>
        </w:tc>
      </w:tr>
      <w:tr w:rsidR="00D73A12">
        <w:trPr>
          <w:trHeight w:val="111"/>
        </w:trPr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Behavioural stress symptoms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29.9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21.8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35.2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21.8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33.9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29.6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22.1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29.0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24.0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18.5</w:t>
            </w:r>
          </w:p>
        </w:tc>
        <w:tc>
          <w:tcPr>
            <w:tcW w:w="649" w:type="dxa"/>
            <w:tcBorders>
              <w:top w:val="single" w:sz="4" w:space="0" w:color="993366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28.3</w:t>
            </w:r>
          </w:p>
        </w:tc>
        <w:tc>
          <w:tcPr>
            <w:tcW w:w="647" w:type="dxa"/>
            <w:tcBorders>
              <w:top w:val="single" w:sz="4" w:space="0" w:color="993366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32.4</w:t>
            </w:r>
          </w:p>
        </w:tc>
        <w:tc>
          <w:tcPr>
            <w:tcW w:w="653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20.9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 xml:space="preserve">Cognitive stress symptoms 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26.7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19.5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26.7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18.9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25.7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28.4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24.4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25.5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18.4</w:t>
            </w:r>
          </w:p>
        </w:tc>
        <w:tc>
          <w:tcPr>
            <w:tcW w:w="649" w:type="dxa"/>
            <w:tcBorders>
              <w:top w:val="nil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26.3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18.8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31.1</w:t>
            </w:r>
          </w:p>
        </w:tc>
        <w:tc>
          <w:tcPr>
            <w:tcW w:w="653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13488" w:type="dxa"/>
            <w:gridSpan w:val="18"/>
            <w:shd w:val="clear" w:color="auto" w:fill="F2F2F2" w:themeFill="background1" w:themeFillShade="F2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ERI</w:t>
            </w: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Effort–reward imbalance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0.3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0.3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0.3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1.1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0.3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1.0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0.3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1.0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0.3</w:t>
            </w:r>
          </w:p>
        </w:tc>
        <w:tc>
          <w:tcPr>
            <w:tcW w:w="649" w:type="dxa"/>
            <w:tcBorders>
              <w:top w:val="single" w:sz="4" w:space="0" w:color="333333"/>
              <w:left w:val="single" w:sz="4" w:space="0" w:color="333399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1.2</w:t>
            </w:r>
          </w:p>
        </w:tc>
        <w:tc>
          <w:tcPr>
            <w:tcW w:w="647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99"/>
            </w:tcBorders>
            <w:shd w:val="clear" w:color="auto" w:fill="auto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0.3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1.3</w:t>
            </w:r>
          </w:p>
        </w:tc>
        <w:tc>
          <w:tcPr>
            <w:tcW w:w="653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0.3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13488" w:type="dxa"/>
            <w:gridSpan w:val="18"/>
            <w:shd w:val="clear" w:color="auto" w:fill="F2F2F2" w:themeFill="background1" w:themeFillShade="F2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Long-term consequences</w:t>
            </w: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Work-Ability Index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36.5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4.9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38.4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4.6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37.2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36.8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37.8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37.0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4.1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36.7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36.8</w:t>
            </w:r>
          </w:p>
        </w:tc>
        <w:tc>
          <w:tcPr>
            <w:tcW w:w="653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5.1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Job satisfaction</w:t>
            </w:r>
          </w:p>
        </w:tc>
        <w:tc>
          <w:tcPr>
            <w:tcW w:w="648" w:type="dxa"/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70.4</w:t>
            </w:r>
          </w:p>
        </w:tc>
        <w:tc>
          <w:tcPr>
            <w:tcW w:w="649" w:type="dxa"/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14.7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72.9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15.3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72.5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15.3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70.0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14.8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71.5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13.8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73.3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13.7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67.2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14.3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66.8</w:t>
            </w:r>
          </w:p>
        </w:tc>
        <w:tc>
          <w:tcPr>
            <w:tcW w:w="653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13.0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 xml:space="preserve">Intention to leave the organisation </w:t>
            </w:r>
          </w:p>
        </w:tc>
        <w:tc>
          <w:tcPr>
            <w:tcW w:w="648" w:type="dxa"/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20.2</w:t>
            </w:r>
          </w:p>
        </w:tc>
        <w:tc>
          <w:tcPr>
            <w:tcW w:w="649" w:type="dxa"/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22.7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22.6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23.5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24.7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24.2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21.5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22.2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21.6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20.7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13.9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22.3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23.6</w:t>
            </w:r>
          </w:p>
        </w:tc>
        <w:tc>
          <w:tcPr>
            <w:tcW w:w="653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23.3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  <w:vAlign w:val="center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Intention to leave the profession</w:t>
            </w:r>
          </w:p>
        </w:tc>
        <w:tc>
          <w:tcPr>
            <w:tcW w:w="648" w:type="dxa"/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16.1</w:t>
            </w:r>
          </w:p>
        </w:tc>
        <w:tc>
          <w:tcPr>
            <w:tcW w:w="649" w:type="dxa"/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21.3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16.4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15.5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20.4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13.5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12.1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17.9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10.3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16.4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13.8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18.9</w:t>
            </w:r>
          </w:p>
        </w:tc>
        <w:tc>
          <w:tcPr>
            <w:tcW w:w="653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21.3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General health status</w:t>
            </w:r>
          </w:p>
        </w:tc>
        <w:tc>
          <w:tcPr>
            <w:tcW w:w="648" w:type="dxa"/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79.0</w:t>
            </w:r>
          </w:p>
        </w:tc>
        <w:tc>
          <w:tcPr>
            <w:tcW w:w="649" w:type="dxa"/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17.0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81.8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15.5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78.0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81.4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15.4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79.7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15.8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79.3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15.8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80.3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16.2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78.7</w:t>
            </w:r>
          </w:p>
        </w:tc>
        <w:tc>
          <w:tcPr>
            <w:tcW w:w="653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16.9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Burnout symptoms</w:t>
            </w:r>
          </w:p>
        </w:tc>
        <w:tc>
          <w:tcPr>
            <w:tcW w:w="648" w:type="dxa"/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42.2</w:t>
            </w:r>
          </w:p>
        </w:tc>
        <w:tc>
          <w:tcPr>
            <w:tcW w:w="649" w:type="dxa"/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20.9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45.6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20.2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44.0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20.1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42.2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19.4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40.3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18.3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40.4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21.3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41.8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19.8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46.8</w:t>
            </w:r>
          </w:p>
        </w:tc>
        <w:tc>
          <w:tcPr>
            <w:tcW w:w="653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18.2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  <w:tr w:rsidR="00D73A12">
        <w:tc>
          <w:tcPr>
            <w:tcW w:w="3113" w:type="dxa"/>
          </w:tcPr>
          <w:p w:rsidR="00D73A12" w:rsidRDefault="00870D97">
            <w:pPr>
              <w:spacing w:line="240" w:lineRule="auto"/>
              <w:rPr>
                <w:szCs w:val="22"/>
              </w:rPr>
            </w:pPr>
            <w:r>
              <w:rPr>
                <w:rFonts w:eastAsia="MS Mincho" w:cs="Arial"/>
                <w:bCs/>
                <w:kern w:val="2"/>
                <w:sz w:val="16"/>
                <w:szCs w:val="16"/>
              </w:rPr>
              <w:t>Quality of sleep</w:t>
            </w:r>
          </w:p>
        </w:tc>
        <w:tc>
          <w:tcPr>
            <w:tcW w:w="648" w:type="dxa"/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68.8</w:t>
            </w:r>
          </w:p>
        </w:tc>
        <w:tc>
          <w:tcPr>
            <w:tcW w:w="649" w:type="dxa"/>
            <w:shd w:val="clear" w:color="auto" w:fill="auto"/>
          </w:tcPr>
          <w:p w:rsidR="00D73A12" w:rsidRDefault="00870D97">
            <w:pPr>
              <w:spacing w:line="240" w:lineRule="auto"/>
              <w:jc w:val="center"/>
              <w:rPr>
                <w:sz w:val="16"/>
              </w:rPr>
            </w:pPr>
            <w:r>
              <w:rPr>
                <w:rFonts w:eastAsia="MS Mincho"/>
                <w:sz w:val="16"/>
              </w:rPr>
              <w:t>19.2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66.0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18.7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67.2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18.1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69.8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18.9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74.0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19.5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71.0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19.8</w:t>
            </w:r>
          </w:p>
        </w:tc>
        <w:tc>
          <w:tcPr>
            <w:tcW w:w="649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67.2</w:t>
            </w:r>
          </w:p>
        </w:tc>
        <w:tc>
          <w:tcPr>
            <w:tcW w:w="647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18.6</w:t>
            </w:r>
          </w:p>
        </w:tc>
        <w:tc>
          <w:tcPr>
            <w:tcW w:w="648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64.9</w:t>
            </w:r>
          </w:p>
        </w:tc>
        <w:tc>
          <w:tcPr>
            <w:tcW w:w="653" w:type="dxa"/>
          </w:tcPr>
          <w:p w:rsidR="00D73A12" w:rsidRDefault="00870D97">
            <w:pPr>
              <w:spacing w:line="240" w:lineRule="auto"/>
              <w:rPr>
                <w:sz w:val="16"/>
              </w:rPr>
            </w:pPr>
            <w:r>
              <w:rPr>
                <w:rFonts w:eastAsia="MS Mincho"/>
                <w:sz w:val="16"/>
              </w:rPr>
              <w:t>18.5</w:t>
            </w:r>
          </w:p>
        </w:tc>
        <w:tc>
          <w:tcPr>
            <w:tcW w:w="2" w:type="dxa"/>
            <w:tcBorders>
              <w:top w:val="nil"/>
              <w:left w:val="nil"/>
              <w:bottom w:val="nil"/>
              <w:right w:val="nil"/>
            </w:tcBorders>
          </w:tcPr>
          <w:p w:rsidR="00D73A12" w:rsidRDefault="00D73A12">
            <w:pPr>
              <w:rPr>
                <w:rFonts w:eastAsia="MS Mincho"/>
              </w:rPr>
            </w:pPr>
          </w:p>
        </w:tc>
      </w:tr>
    </w:tbl>
    <w:p w:rsidR="00D73A12" w:rsidRDefault="00D73A12">
      <w:pPr>
        <w:spacing w:line="240" w:lineRule="auto"/>
        <w:rPr>
          <w:szCs w:val="22"/>
        </w:rPr>
      </w:pPr>
    </w:p>
    <w:p w:rsidR="00D73A12" w:rsidRDefault="00870D97">
      <w:pPr>
        <w:spacing w:line="240" w:lineRule="auto"/>
        <w:rPr>
          <w:szCs w:val="22"/>
        </w:rPr>
      </w:pPr>
      <w:bookmarkStart w:id="2" w:name="_Hlk2763254"/>
      <w:r>
        <w:rPr>
          <w:rFonts w:cs="Arial"/>
          <w:sz w:val="18"/>
          <w:szCs w:val="18"/>
        </w:rPr>
        <w:t>Mean and standard deviation (SD), all scales are scored from 0 (minimum value) to 100 (maximum value) except for ERI (cut-off &gt;1 is considered to be indicative of an imbalance between effort and reward) and WAI (7–49), N=number of cases in total, M=mean, SD= standard deviation</w:t>
      </w:r>
      <w:bookmarkEnd w:id="2"/>
    </w:p>
    <w:p w:rsidR="00D73A12" w:rsidRDefault="00D73A12">
      <w:pPr>
        <w:spacing w:line="240" w:lineRule="auto"/>
        <w:rPr>
          <w:rFonts w:ascii="Times New Roman" w:hAnsi="Times New Roman" w:cs="Times New Roman"/>
        </w:rPr>
      </w:pPr>
    </w:p>
    <w:p w:rsidR="00D73A12" w:rsidRPr="003F6C0C" w:rsidRDefault="00D73A12">
      <w:pPr>
        <w:spacing w:line="240" w:lineRule="auto"/>
        <w:rPr>
          <w:rFonts w:cs="Arial"/>
          <w:b/>
          <w:bCs/>
          <w:sz w:val="22"/>
          <w:szCs w:val="22"/>
          <w:lang w:val="sv-SE"/>
        </w:rPr>
      </w:pPr>
    </w:p>
    <w:sectPr w:rsidR="00D73A12" w:rsidRPr="003F6C0C">
      <w:headerReference w:type="default" r:id="rId8"/>
      <w:footerReference w:type="default" r:id="rId9"/>
      <w:pgSz w:w="16838" w:h="11906" w:orient="landscape"/>
      <w:pgMar w:top="993" w:right="1440" w:bottom="766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DC2" w:rsidRDefault="007B7DC2">
      <w:pPr>
        <w:spacing w:line="240" w:lineRule="auto"/>
      </w:pPr>
      <w:r>
        <w:separator/>
      </w:r>
    </w:p>
  </w:endnote>
  <w:endnote w:type="continuationSeparator" w:id="0">
    <w:p w:rsidR="007B7DC2" w:rsidRDefault="007B7D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2981479"/>
      <w:docPartObj>
        <w:docPartGallery w:val="Page Numbers (Bottom of Page)"/>
        <w:docPartUnique/>
      </w:docPartObj>
    </w:sdtPr>
    <w:sdtEndPr/>
    <w:sdtContent>
      <w:p w:rsidR="00925D77" w:rsidRDefault="00925D77">
        <w:pPr>
          <w:pStyle w:val="Fuzeile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:rsidR="00925D77" w:rsidRDefault="00925D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DC2" w:rsidRDefault="007B7DC2">
      <w:pPr>
        <w:spacing w:line="240" w:lineRule="auto"/>
      </w:pPr>
      <w:r>
        <w:separator/>
      </w:r>
    </w:p>
  </w:footnote>
  <w:footnote w:type="continuationSeparator" w:id="0">
    <w:p w:rsidR="007B7DC2" w:rsidRDefault="007B7D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5D77" w:rsidRDefault="00925D77">
    <w:pPr>
      <w:pStyle w:val="Kopfzeile"/>
      <w:rPr>
        <w:rFonts w:cs="Arial"/>
        <w:sz w:val="18"/>
        <w:lang w:val="de-CH"/>
      </w:rPr>
    </w:pPr>
    <w:r>
      <w:rPr>
        <w:rFonts w:cs="Arial"/>
        <w:sz w:val="18"/>
        <w:lang w:val="de-CH"/>
      </w:rPr>
      <w:tab/>
    </w:r>
    <w:r>
      <w:rPr>
        <w:rFonts w:cs="Arial"/>
        <w:sz w:val="18"/>
        <w:lang w:val="de-CH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F2036"/>
    <w:multiLevelType w:val="multilevel"/>
    <w:tmpl w:val="C3BC969A"/>
    <w:lvl w:ilvl="0">
      <w:start w:val="1"/>
      <w:numFmt w:val="decimal"/>
      <w:pStyle w:val="berschrift1"/>
      <w:lvlText w:val="%1"/>
      <w:lvlJc w:val="left"/>
      <w:pPr>
        <w:tabs>
          <w:tab w:val="num" w:pos="0"/>
        </w:tabs>
        <w:ind w:left="716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0"/>
        </w:tabs>
        <w:ind w:left="860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0"/>
        </w:tabs>
        <w:ind w:left="1148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0"/>
        </w:tabs>
        <w:ind w:left="1292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0"/>
        </w:tabs>
        <w:ind w:left="1436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0"/>
        </w:tabs>
        <w:ind w:left="1580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0"/>
        </w:tabs>
        <w:ind w:left="1724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0"/>
        </w:tabs>
        <w:ind w:left="1868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12"/>
    <w:rsid w:val="00362FA0"/>
    <w:rsid w:val="003F6C0C"/>
    <w:rsid w:val="005549E8"/>
    <w:rsid w:val="005A0373"/>
    <w:rsid w:val="006A11C3"/>
    <w:rsid w:val="007B7DC2"/>
    <w:rsid w:val="008001CF"/>
    <w:rsid w:val="00870D97"/>
    <w:rsid w:val="00925D77"/>
    <w:rsid w:val="00984234"/>
    <w:rsid w:val="009D7D8B"/>
    <w:rsid w:val="00A17168"/>
    <w:rsid w:val="00B964E2"/>
    <w:rsid w:val="00BD2B2E"/>
    <w:rsid w:val="00D62D9E"/>
    <w:rsid w:val="00D73A12"/>
    <w:rsid w:val="00E178D3"/>
    <w:rsid w:val="00E3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D2822F"/>
  <w15:docId w15:val="{89306312-6409-47B9-A563-670E627F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6C7F43"/>
    <w:pPr>
      <w:spacing w:line="276" w:lineRule="auto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C59C0"/>
    <w:pPr>
      <w:keepNext/>
      <w:keepLines/>
      <w:numPr>
        <w:numId w:val="1"/>
      </w:numPr>
      <w:spacing w:before="480"/>
      <w:ind w:left="0" w:firstLine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Listennummer"/>
    <w:next w:val="Standard"/>
    <w:link w:val="berschrift2Zchn"/>
    <w:uiPriority w:val="9"/>
    <w:unhideWhenUsed/>
    <w:qFormat/>
    <w:rsid w:val="00AC59C0"/>
    <w:pPr>
      <w:keepNext/>
      <w:keepLines/>
      <w:numPr>
        <w:ilvl w:val="1"/>
        <w:numId w:val="1"/>
      </w:numPr>
      <w:spacing w:before="200" w:after="120"/>
      <w:ind w:left="716" w:hanging="432"/>
      <w:contextualSpacing w:val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C59C0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AC59C0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59C0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59C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59C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59C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AC59C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qFormat/>
    <w:rsid w:val="00AC59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qFormat/>
    <w:rsid w:val="00AC59C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customStyle="1" w:styleId="berschrift5Zchn">
    <w:name w:val="Überschrift 5 Zchn"/>
    <w:basedOn w:val="Absatz-Standardschriftart"/>
    <w:link w:val="berschrift5"/>
    <w:uiPriority w:val="9"/>
    <w:qFormat/>
    <w:rsid w:val="00AC59C0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qFormat/>
    <w:rsid w:val="00AC59C0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qFormat/>
    <w:rsid w:val="00AC59C0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qFormat/>
    <w:rsid w:val="00AC59C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qFormat/>
    <w:rsid w:val="00AC59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pple-converted-space">
    <w:name w:val="apple-converted-space"/>
    <w:basedOn w:val="Absatz-Standardschriftart"/>
    <w:qFormat/>
    <w:rsid w:val="00AC59C0"/>
  </w:style>
  <w:style w:type="character" w:styleId="Fett">
    <w:name w:val="Strong"/>
    <w:basedOn w:val="Absatz-Standardschriftart"/>
    <w:uiPriority w:val="22"/>
    <w:qFormat/>
    <w:rsid w:val="00AC59C0"/>
    <w:rPr>
      <w:b/>
      <w:bCs/>
    </w:rPr>
  </w:style>
  <w:style w:type="character" w:styleId="Hervorhebung">
    <w:name w:val="Emphasis"/>
    <w:basedOn w:val="Absatz-Standardschriftart"/>
    <w:uiPriority w:val="20"/>
    <w:qFormat/>
    <w:rsid w:val="00AC59C0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AC59C0"/>
    <w:rPr>
      <w:sz w:val="18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AC59C0"/>
    <w:rPr>
      <w:sz w:val="22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AC59C0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AC59C0"/>
    <w:rPr>
      <w:rFonts w:ascii="Lucida Grande" w:hAnsi="Lucida Grande" w:cs="Lucida Grande"/>
      <w:sz w:val="18"/>
      <w:szCs w:val="18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qFormat/>
    <w:rsid w:val="00AC59C0"/>
    <w:rPr>
      <w:sz w:val="22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qFormat/>
    <w:rsid w:val="00AC59C0"/>
    <w:rPr>
      <w:sz w:val="22"/>
      <w:lang w:val="sv-SE"/>
    </w:rPr>
  </w:style>
  <w:style w:type="character" w:styleId="Hyperlink">
    <w:name w:val="Hyperlink"/>
    <w:basedOn w:val="Absatz-Standardschriftart"/>
    <w:uiPriority w:val="99"/>
    <w:unhideWhenUsed/>
    <w:rsid w:val="00AC59C0"/>
    <w:rPr>
      <w:color w:val="0000FF" w:themeColor="hyperlink"/>
      <w:u w:val="single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qFormat/>
    <w:rsid w:val="00AC59C0"/>
    <w:rPr>
      <w:sz w:val="22"/>
    </w:rPr>
  </w:style>
  <w:style w:type="character" w:styleId="BesuchterLink">
    <w:name w:val="FollowedHyperlink"/>
    <w:basedOn w:val="Absatz-Standardschriftart"/>
    <w:uiPriority w:val="99"/>
    <w:semiHidden/>
    <w:unhideWhenUsed/>
    <w:rsid w:val="00AC59C0"/>
    <w:rPr>
      <w:color w:val="800080" w:themeColor="followedHyperlink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qFormat/>
    <w:rsid w:val="00AC59C0"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AC59C0"/>
    <w:rPr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AC59C0"/>
    <w:rPr>
      <w:sz w:val="22"/>
    </w:rPr>
  </w:style>
  <w:style w:type="character" w:styleId="Seitenzahl">
    <w:name w:val="page number"/>
    <w:basedOn w:val="Absatz-Standardschriftart"/>
    <w:uiPriority w:val="99"/>
    <w:semiHidden/>
    <w:unhideWhenUsed/>
    <w:qFormat/>
    <w:rsid w:val="00AC59C0"/>
  </w:style>
  <w:style w:type="character" w:customStyle="1" w:styleId="ZitatZchn">
    <w:name w:val="Zitat Zchn"/>
    <w:basedOn w:val="Absatz-Standardschriftart"/>
    <w:link w:val="Zitat"/>
    <w:uiPriority w:val="29"/>
    <w:qFormat/>
    <w:rsid w:val="00AC59C0"/>
    <w:rPr>
      <w:i/>
      <w:iCs/>
      <w:color w:val="000000" w:themeColor="text1"/>
      <w:sz w:val="22"/>
    </w:rPr>
  </w:style>
  <w:style w:type="character" w:customStyle="1" w:styleId="EndNoteCategoryHeadingZchn">
    <w:name w:val="EndNote Category Heading Zchn"/>
    <w:basedOn w:val="Absatz-Standardschriftart"/>
    <w:link w:val="EndNoteCategoryHeading"/>
    <w:qFormat/>
    <w:rsid w:val="00A5197C"/>
    <w:rPr>
      <w:rFonts w:ascii="Arial" w:hAnsi="Arial"/>
      <w:b/>
      <w:sz w:val="20"/>
      <w:lang w:val="en-US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qFormat/>
    <w:rsid w:val="00AC1D20"/>
    <w:rPr>
      <w:rFonts w:ascii="Arial" w:hAnsi="Arial"/>
      <w:sz w:val="20"/>
      <w:szCs w:val="20"/>
    </w:rPr>
  </w:style>
  <w:style w:type="character" w:customStyle="1" w:styleId="EndnoteCharacters">
    <w:name w:val="Endnote Characters"/>
    <w:basedOn w:val="Absatz-Standardschriftart"/>
    <w:uiPriority w:val="99"/>
    <w:semiHidden/>
    <w:unhideWhenUsed/>
    <w:qFormat/>
    <w:rsid w:val="00AC1D20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D604F3"/>
    <w:rPr>
      <w:color w:val="808080"/>
      <w:shd w:val="clear" w:color="auto" w:fill="E6E6E6"/>
    </w:rPr>
  </w:style>
  <w:style w:type="character" w:styleId="NichtaufgelsteErwhnung">
    <w:name w:val="Unresolved Mention"/>
    <w:basedOn w:val="Absatz-Standardschriftart"/>
    <w:uiPriority w:val="99"/>
    <w:unhideWhenUsed/>
    <w:qFormat/>
    <w:rsid w:val="00641029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unhideWhenUsed/>
    <w:qFormat/>
    <w:rsid w:val="00773525"/>
    <w:rPr>
      <w:color w:val="2B579A"/>
      <w:shd w:val="clear" w:color="auto" w:fill="E1DFDD"/>
    </w:rPr>
  </w:style>
  <w:style w:type="character" w:customStyle="1" w:styleId="LineNumbering">
    <w:name w:val="Line Numbering"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AC59C0"/>
    <w:pPr>
      <w:spacing w:after="120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next w:val="Standard"/>
    <w:uiPriority w:val="35"/>
    <w:unhideWhenUsed/>
    <w:qFormat/>
    <w:rsid w:val="00AC59C0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Standard"/>
    <w:qFormat/>
    <w:pPr>
      <w:suppressLineNumbers/>
    </w:pPr>
    <w:rPr>
      <w:rFonts w:cs="Lohit Devanagari"/>
    </w:rPr>
  </w:style>
  <w:style w:type="paragraph" w:styleId="StandardWeb">
    <w:name w:val="Normal (Web)"/>
    <w:basedOn w:val="Standard"/>
    <w:uiPriority w:val="99"/>
    <w:unhideWhenUsed/>
    <w:qFormat/>
    <w:rsid w:val="00AC59C0"/>
    <w:pPr>
      <w:spacing w:beforeAutospacing="1" w:afterAutospacing="1"/>
    </w:pPr>
    <w:rPr>
      <w:rFonts w:ascii="Times" w:hAnsi="Times" w:cs="Times New Roman"/>
      <w:szCs w:val="20"/>
      <w:lang w:val="en-US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AC59C0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AC59C0"/>
    <w:rPr>
      <w:b/>
      <w:bCs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AC59C0"/>
    <w:rPr>
      <w:rFonts w:ascii="Lucida Grande" w:hAnsi="Lucida Grande" w:cs="Lucida Grande"/>
      <w:sz w:val="18"/>
      <w:szCs w:val="18"/>
    </w:rPr>
  </w:style>
  <w:style w:type="paragraph" w:customStyle="1" w:styleId="EndNoteBibliographyTitle">
    <w:name w:val="EndNote Bibliography Title"/>
    <w:basedOn w:val="Standard"/>
    <w:qFormat/>
    <w:rsid w:val="00AC59C0"/>
    <w:pPr>
      <w:jc w:val="center"/>
    </w:pPr>
    <w:rPr>
      <w:rFonts w:cs="Arial"/>
      <w:lang w:val="en-US"/>
    </w:rPr>
  </w:style>
  <w:style w:type="paragraph" w:customStyle="1" w:styleId="EndNoteBibliography">
    <w:name w:val="EndNote Bibliography"/>
    <w:basedOn w:val="Standard"/>
    <w:qFormat/>
    <w:rsid w:val="00AC59C0"/>
    <w:pPr>
      <w:spacing w:line="240" w:lineRule="auto"/>
    </w:pPr>
    <w:rPr>
      <w:rFonts w:cs="Arial"/>
      <w:lang w:val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AC59C0"/>
    <w:pPr>
      <w:spacing w:after="120"/>
      <w:ind w:left="283"/>
    </w:pPr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qFormat/>
    <w:rsid w:val="00AC59C0"/>
    <w:pPr>
      <w:spacing w:after="0"/>
      <w:ind w:left="360" w:firstLine="360"/>
    </w:pPr>
    <w:rPr>
      <w:lang w:val="sv-SE"/>
    </w:rPr>
  </w:style>
  <w:style w:type="paragraph" w:styleId="Aufzhlungszeichen3">
    <w:name w:val="List Bullet 3"/>
    <w:basedOn w:val="Standard"/>
    <w:uiPriority w:val="99"/>
    <w:unhideWhenUsed/>
    <w:rsid w:val="00AC59C0"/>
    <w:pPr>
      <w:ind w:left="566" w:hanging="283"/>
      <w:contextualSpacing/>
    </w:pPr>
    <w:rPr>
      <w:lang w:val="sv-SE"/>
    </w:rPr>
  </w:style>
  <w:style w:type="paragraph" w:styleId="Listennummer">
    <w:name w:val="List Number"/>
    <w:basedOn w:val="Standard"/>
    <w:uiPriority w:val="99"/>
    <w:semiHidden/>
    <w:unhideWhenUsed/>
    <w:qFormat/>
    <w:rsid w:val="00AC59C0"/>
    <w:pPr>
      <w:ind w:left="716" w:hanging="432"/>
      <w:contextualSpacing/>
    </w:pPr>
  </w:style>
  <w:style w:type="paragraph" w:styleId="Listenabsatz">
    <w:name w:val="List Paragraph"/>
    <w:basedOn w:val="Standard"/>
    <w:uiPriority w:val="34"/>
    <w:qFormat/>
    <w:rsid w:val="00AC59C0"/>
    <w:pPr>
      <w:spacing w:after="200" w:line="360" w:lineRule="auto"/>
      <w:ind w:left="720"/>
      <w:contextualSpacing/>
    </w:pPr>
    <w:rPr>
      <w:rFonts w:eastAsiaTheme="minorHAnsi"/>
      <w:szCs w:val="22"/>
    </w:r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AC59C0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unhideWhenUsed/>
    <w:rsid w:val="00AC59C0"/>
    <w:pPr>
      <w:tabs>
        <w:tab w:val="center" w:pos="4320"/>
        <w:tab w:val="right" w:pos="8640"/>
      </w:tabs>
    </w:pPr>
  </w:style>
  <w:style w:type="paragraph" w:styleId="berarbeitung">
    <w:name w:val="Revision"/>
    <w:uiPriority w:val="99"/>
    <w:semiHidden/>
    <w:qFormat/>
    <w:rsid w:val="00AC59C0"/>
  </w:style>
  <w:style w:type="paragraph" w:styleId="Zitat">
    <w:name w:val="Quote"/>
    <w:basedOn w:val="Standard"/>
    <w:next w:val="Standard"/>
    <w:link w:val="ZitatZchn"/>
    <w:uiPriority w:val="29"/>
    <w:qFormat/>
    <w:rsid w:val="00AC59C0"/>
    <w:rPr>
      <w:i/>
      <w:iCs/>
      <w:color w:val="000000" w:themeColor="text1"/>
    </w:rPr>
  </w:style>
  <w:style w:type="paragraph" w:styleId="KeinLeerraum">
    <w:name w:val="No Spacing"/>
    <w:uiPriority w:val="1"/>
    <w:qFormat/>
    <w:rsid w:val="00AC59C0"/>
  </w:style>
  <w:style w:type="paragraph" w:styleId="Listenfortsetzung2">
    <w:name w:val="List Continue 2"/>
    <w:basedOn w:val="Standard"/>
    <w:uiPriority w:val="99"/>
    <w:unhideWhenUsed/>
    <w:qFormat/>
    <w:rsid w:val="00AC59C0"/>
    <w:pPr>
      <w:spacing w:after="120"/>
      <w:ind w:left="566"/>
      <w:contextualSpacing/>
    </w:pPr>
    <w:rPr>
      <w:rFonts w:ascii="Lucida Sans" w:hAnsi="Lucida Sans"/>
      <w:lang w:val="de-CH"/>
    </w:rPr>
  </w:style>
  <w:style w:type="paragraph" w:customStyle="1" w:styleId="EndNoteCategoryHeading">
    <w:name w:val="EndNote Category Heading"/>
    <w:basedOn w:val="Standard"/>
    <w:link w:val="EndNoteCategoryHeadingZchn"/>
    <w:qFormat/>
    <w:rsid w:val="00A5197C"/>
    <w:pPr>
      <w:spacing w:before="120" w:after="120"/>
    </w:pPr>
    <w:rPr>
      <w:b/>
      <w:lang w:val="en-US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C1D20"/>
    <w:pPr>
      <w:spacing w:line="240" w:lineRule="auto"/>
    </w:pPr>
    <w:rPr>
      <w:szCs w:val="20"/>
    </w:rPr>
  </w:style>
  <w:style w:type="paragraph" w:customStyle="1" w:styleId="example">
    <w:name w:val="example"/>
    <w:basedOn w:val="Standard"/>
    <w:qFormat/>
    <w:rsid w:val="00FB65A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lang w:val="de-CH" w:eastAsia="de-CH"/>
    </w:rPr>
  </w:style>
  <w:style w:type="paragraph" w:customStyle="1" w:styleId="FrameContents">
    <w:name w:val="Frame Contents"/>
    <w:basedOn w:val="Standard"/>
    <w:qFormat/>
  </w:style>
  <w:style w:type="table" w:styleId="Tabellenraster">
    <w:name w:val="Table Grid"/>
    <w:basedOn w:val="NormaleTabelle"/>
    <w:uiPriority w:val="59"/>
    <w:rsid w:val="00AC59C0"/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uiPriority w:val="59"/>
    <w:rsid w:val="00190EA7"/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hellemGitternetz1">
    <w:name w:val="Tabelle mit hellem Gitternetz1"/>
    <w:basedOn w:val="NormaleTabelle"/>
    <w:uiPriority w:val="40"/>
    <w:rsid w:val="00360616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styleId="TabellemithellemGitternetz">
    <w:name w:val="Grid Table Light"/>
    <w:basedOn w:val="NormaleTabelle"/>
    <w:uiPriority w:val="40"/>
    <w:rsid w:val="00C4768B"/>
    <w:rPr>
      <w:sz w:val="22"/>
      <w:szCs w:val="22"/>
      <w:lang w:val="de-CH" w:eastAsia="de-CH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Eur</b:Tag>
    <b:SourceType>Book</b:SourceType>
    <b:Guid>{0414E21B-2058-4EC6-8F6E-89AB319D4C51}</b:Guid>
    <b:Author>
      <b:Author>
        <b:NameList>
          <b:Person>
            <b:Last>Eurofound</b:La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CCA0A81C-925A-4D98-A051-A85B69EAE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1254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Kalaidos</Company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Karin (Careum Hochschule Gesundheit)</dc:creator>
  <dc:description/>
  <cp:lastModifiedBy>Peter Karin (Careum Hochschule Gesundheit)</cp:lastModifiedBy>
  <cp:revision>10</cp:revision>
  <dcterms:created xsi:type="dcterms:W3CDTF">2024-08-14T11:08:00Z</dcterms:created>
  <dcterms:modified xsi:type="dcterms:W3CDTF">2024-08-14T11:59:00Z</dcterms:modified>
  <dc:language>en-US</dc:language>
</cp:coreProperties>
</file>