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DB9" w:rsidRPr="00A32DB9" w:rsidRDefault="00A32DB9" w:rsidP="00A32DB9">
      <w:pPr>
        <w:spacing w:after="0" w:line="360" w:lineRule="auto"/>
        <w:jc w:val="both"/>
        <w:rPr>
          <w:rFonts w:ascii="Times New Roman" w:eastAsia="Calibri" w:hAnsi="Times New Roman" w:cs="Times New Roman"/>
          <w:b/>
          <w:bCs/>
          <w:sz w:val="28"/>
          <w:szCs w:val="28"/>
        </w:rPr>
      </w:pPr>
      <w:r w:rsidRPr="00A32DB9">
        <w:rPr>
          <w:rFonts w:ascii="Times New Roman" w:eastAsia="Calibri" w:hAnsi="Times New Roman" w:cs="Times New Roman"/>
          <w:b/>
          <w:bCs/>
          <w:sz w:val="28"/>
          <w:szCs w:val="28"/>
          <w:lang w:val="en-US"/>
        </w:rPr>
        <w:t>Supplementary Information</w:t>
      </w:r>
    </w:p>
    <w:p w:rsidR="00A32DB9" w:rsidRPr="00A32DB9" w:rsidRDefault="00135FAA" w:rsidP="00A32DB9">
      <w:pPr>
        <w:spacing w:after="0" w:line="360" w:lineRule="auto"/>
        <w:jc w:val="center"/>
        <w:rPr>
          <w:rFonts w:ascii="Times New Roman" w:eastAsia="Calibri" w:hAnsi="Times New Roman" w:cs="Times New Roman"/>
          <w:sz w:val="28"/>
          <w:szCs w:val="28"/>
          <w:lang w:val="en-US"/>
        </w:rPr>
      </w:pPr>
      <w:r>
        <w:rPr>
          <w:rFonts w:ascii="Times New Roman" w:eastAsia="Calibri" w:hAnsi="Times New Roman" w:cs="Times New Roman"/>
          <w:noProof/>
          <w:sz w:val="28"/>
          <w:szCs w:val="28"/>
          <w:lang w:eastAsia="ru-RU"/>
        </w:rPr>
        <w:drawing>
          <wp:inline distT="0" distB="0" distL="0" distR="0" wp14:anchorId="60327EEE">
            <wp:extent cx="3963035" cy="3499485"/>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63035" cy="3499485"/>
                    </a:xfrm>
                    <a:prstGeom prst="rect">
                      <a:avLst/>
                    </a:prstGeom>
                    <a:noFill/>
                  </pic:spPr>
                </pic:pic>
              </a:graphicData>
            </a:graphic>
          </wp:inline>
        </w:drawing>
      </w:r>
    </w:p>
    <w:p w:rsidR="00A32DB9" w:rsidRPr="00A32DB9" w:rsidRDefault="00A32DB9" w:rsidP="00A32DB9">
      <w:pPr>
        <w:spacing w:after="0" w:line="360" w:lineRule="auto"/>
        <w:jc w:val="both"/>
        <w:rPr>
          <w:rFonts w:ascii="Times New Roman" w:eastAsia="Calibri" w:hAnsi="Times New Roman" w:cs="Times New Roman"/>
          <w:sz w:val="28"/>
          <w:szCs w:val="28"/>
          <w:lang w:val="en-US"/>
        </w:rPr>
      </w:pPr>
      <w:r w:rsidRPr="00A32DB9">
        <w:rPr>
          <w:rFonts w:ascii="Times New Roman" w:eastAsia="Calibri" w:hAnsi="Times New Roman" w:cs="Times New Roman"/>
          <w:b/>
          <w:sz w:val="28"/>
          <w:szCs w:val="28"/>
          <w:lang w:val="en-US"/>
        </w:rPr>
        <w:t>Figure S</w:t>
      </w:r>
      <w:r w:rsidRPr="00A32DB9">
        <w:rPr>
          <w:rFonts w:ascii="Times New Roman" w:eastAsia="Calibri" w:hAnsi="Times New Roman" w:cs="Times New Roman"/>
          <w:b/>
          <w:sz w:val="28"/>
          <w:szCs w:val="28"/>
          <w:lang w:val="en-PH"/>
        </w:rPr>
        <w:t>1</w:t>
      </w:r>
      <w:r w:rsidRPr="00A32DB9">
        <w:rPr>
          <w:rFonts w:ascii="Times New Roman" w:eastAsia="Calibri" w:hAnsi="Times New Roman" w:cs="Times New Roman"/>
          <w:b/>
          <w:sz w:val="28"/>
          <w:szCs w:val="28"/>
          <w:lang w:val="en-US"/>
        </w:rPr>
        <w:t xml:space="preserve">. </w:t>
      </w:r>
      <w:r w:rsidRPr="00A32DB9">
        <w:rPr>
          <w:rFonts w:ascii="Times New Roman" w:eastAsia="Calibri" w:hAnsi="Times New Roman" w:cs="Times New Roman"/>
          <w:sz w:val="28"/>
          <w:szCs w:val="28"/>
          <w:lang w:val="en-US"/>
        </w:rPr>
        <w:t>SEC chromatogram of Dsup protein (the absorbance at 215 nm was measured) and results of SDS‐polyacrylamide gel electrophoresis for selected SEC fractions (in the insert</w:t>
      </w:r>
      <w:r w:rsidR="008C3B6C">
        <w:rPr>
          <w:rFonts w:ascii="Times New Roman" w:eastAsia="Calibri" w:hAnsi="Times New Roman" w:cs="Times New Roman"/>
          <w:sz w:val="28"/>
          <w:szCs w:val="28"/>
          <w:lang w:val="en-US"/>
        </w:rPr>
        <w:t xml:space="preserve">, the </w:t>
      </w:r>
      <w:r w:rsidR="008C3B6C" w:rsidRPr="008C3B6C">
        <w:rPr>
          <w:rFonts w:ascii="Times New Roman" w:eastAsia="Calibri" w:hAnsi="Times New Roman" w:cs="Times New Roman"/>
          <w:sz w:val="28"/>
          <w:szCs w:val="28"/>
          <w:lang w:val="en-US"/>
        </w:rPr>
        <w:t xml:space="preserve">original </w:t>
      </w:r>
      <w:r w:rsidR="008C3B6C">
        <w:rPr>
          <w:rFonts w:ascii="Times New Roman" w:eastAsia="Calibri" w:hAnsi="Times New Roman" w:cs="Times New Roman"/>
          <w:sz w:val="28"/>
          <w:szCs w:val="28"/>
          <w:lang w:val="en-US"/>
        </w:rPr>
        <w:t>gel</w:t>
      </w:r>
      <w:r w:rsidR="008C3B6C" w:rsidRPr="008C3B6C">
        <w:rPr>
          <w:rFonts w:ascii="Times New Roman" w:eastAsia="Calibri" w:hAnsi="Times New Roman" w:cs="Times New Roman"/>
          <w:sz w:val="28"/>
          <w:szCs w:val="28"/>
          <w:lang w:val="en-US"/>
        </w:rPr>
        <w:t xml:space="preserve"> </w:t>
      </w:r>
      <w:r w:rsidR="008C3B6C">
        <w:rPr>
          <w:rFonts w:ascii="Times New Roman" w:eastAsia="Calibri" w:hAnsi="Times New Roman" w:cs="Times New Roman"/>
          <w:sz w:val="28"/>
          <w:szCs w:val="28"/>
          <w:lang w:val="en-US"/>
        </w:rPr>
        <w:t>is</w:t>
      </w:r>
      <w:r w:rsidR="008C3B6C" w:rsidRPr="008C3B6C">
        <w:rPr>
          <w:rFonts w:ascii="Times New Roman" w:eastAsia="Calibri" w:hAnsi="Times New Roman" w:cs="Times New Roman"/>
          <w:sz w:val="28"/>
          <w:szCs w:val="28"/>
          <w:lang w:val="en-US"/>
        </w:rPr>
        <w:t xml:space="preserve"> presented in </w:t>
      </w:r>
      <w:r w:rsidR="008C3B6C">
        <w:rPr>
          <w:rFonts w:ascii="Times New Roman" w:eastAsia="Calibri" w:hAnsi="Times New Roman" w:cs="Times New Roman"/>
          <w:sz w:val="28"/>
          <w:szCs w:val="28"/>
          <w:lang w:val="en-US"/>
        </w:rPr>
        <w:t>Figure S5</w:t>
      </w:r>
      <w:r w:rsidRPr="00A32DB9">
        <w:rPr>
          <w:rFonts w:ascii="Times New Roman" w:eastAsia="Calibri" w:hAnsi="Times New Roman" w:cs="Times New Roman"/>
          <w:sz w:val="28"/>
          <w:szCs w:val="28"/>
          <w:lang w:val="en-US"/>
        </w:rPr>
        <w:t xml:space="preserve">). The designations of fractions after SEC (1-4) coincide with designations of samples loaded in the gel. M – </w:t>
      </w:r>
      <w:proofErr w:type="gramStart"/>
      <w:r w:rsidRPr="00A32DB9">
        <w:rPr>
          <w:rFonts w:ascii="Times New Roman" w:eastAsia="Calibri" w:hAnsi="Times New Roman" w:cs="Times New Roman"/>
          <w:sz w:val="28"/>
          <w:szCs w:val="28"/>
          <w:lang w:val="en-US"/>
        </w:rPr>
        <w:t>molecular</w:t>
      </w:r>
      <w:proofErr w:type="gramEnd"/>
      <w:r w:rsidRPr="00A32DB9">
        <w:rPr>
          <w:rFonts w:ascii="Times New Roman" w:eastAsia="Calibri" w:hAnsi="Times New Roman" w:cs="Times New Roman"/>
          <w:sz w:val="28"/>
          <w:szCs w:val="28"/>
          <w:lang w:val="en-US"/>
        </w:rPr>
        <w:t xml:space="preserve"> weight marker</w:t>
      </w:r>
    </w:p>
    <w:p w:rsidR="00A32DB9" w:rsidRPr="00A32DB9" w:rsidRDefault="00A32DB9" w:rsidP="00A32DB9">
      <w:pPr>
        <w:spacing w:after="0" w:line="360" w:lineRule="auto"/>
        <w:jc w:val="both"/>
        <w:rPr>
          <w:rFonts w:ascii="Times New Roman" w:eastAsia="Calibri" w:hAnsi="Times New Roman" w:cs="Times New Roman"/>
          <w:sz w:val="28"/>
          <w:szCs w:val="28"/>
          <w:lang w:val="en-US"/>
        </w:rPr>
      </w:pPr>
    </w:p>
    <w:p w:rsidR="00A32DB9" w:rsidRPr="00A32DB9" w:rsidRDefault="00A32DB9" w:rsidP="00A32DB9">
      <w:pPr>
        <w:spacing w:after="0" w:line="360" w:lineRule="auto"/>
        <w:jc w:val="center"/>
        <w:rPr>
          <w:rFonts w:ascii="Times New Roman" w:eastAsia="Calibri" w:hAnsi="Times New Roman" w:cs="Times New Roman"/>
          <w:sz w:val="28"/>
          <w:szCs w:val="28"/>
        </w:rPr>
      </w:pPr>
      <w:r w:rsidRPr="00A32DB9">
        <w:rPr>
          <w:rFonts w:ascii="Times New Roman" w:eastAsia="Calibri" w:hAnsi="Times New Roman" w:cs="Times New Roman"/>
          <w:b/>
          <w:noProof/>
          <w:sz w:val="28"/>
          <w:szCs w:val="28"/>
          <w:lang w:eastAsia="ru-RU"/>
        </w:rPr>
        <w:drawing>
          <wp:inline distT="0" distB="0" distL="0" distR="0" wp14:anchorId="0ED2827E" wp14:editId="3CE4C369">
            <wp:extent cx="3960000" cy="3194769"/>
            <wp:effectExtent l="19050" t="0" r="2400" b="0"/>
            <wp:docPr id="2" name="Рисунок 7" descr="D:\Materials for Dsup Articles\Dsup structural study\Pictures in perfect quality\For Article\Dsup Pappu Das diagra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aterials for Dsup Articles\Dsup structural study\Pictures in perfect quality\For Article\Dsup Pappu Das diagram.tif"/>
                    <pic:cNvPicPr>
                      <a:picLocks noChangeAspect="1" noChangeArrowheads="1"/>
                    </pic:cNvPicPr>
                  </pic:nvPicPr>
                  <pic:blipFill>
                    <a:blip r:embed="rId6" cstate="print"/>
                    <a:srcRect/>
                    <a:stretch>
                      <a:fillRect/>
                    </a:stretch>
                  </pic:blipFill>
                  <pic:spPr bwMode="auto">
                    <a:xfrm>
                      <a:off x="0" y="0"/>
                      <a:ext cx="3960000" cy="3194769"/>
                    </a:xfrm>
                    <a:prstGeom prst="rect">
                      <a:avLst/>
                    </a:prstGeom>
                    <a:noFill/>
                    <a:ln w="9525">
                      <a:noFill/>
                      <a:miter lim="800000"/>
                      <a:headEnd/>
                      <a:tailEnd/>
                    </a:ln>
                  </pic:spPr>
                </pic:pic>
              </a:graphicData>
            </a:graphic>
          </wp:inline>
        </w:drawing>
      </w:r>
    </w:p>
    <w:p w:rsidR="00A32DB9" w:rsidRPr="00A32DB9" w:rsidRDefault="00A32DB9" w:rsidP="00A32DB9">
      <w:pPr>
        <w:spacing w:after="200" w:line="360" w:lineRule="auto"/>
        <w:jc w:val="both"/>
        <w:rPr>
          <w:rFonts w:ascii="Times New Roman" w:eastAsia="Calibri" w:hAnsi="Times New Roman" w:cs="Times New Roman"/>
          <w:b/>
          <w:noProof/>
          <w:sz w:val="28"/>
          <w:szCs w:val="28"/>
          <w:lang w:val="en-PH" w:eastAsia="en-PH"/>
        </w:rPr>
      </w:pPr>
      <w:r w:rsidRPr="00A32DB9">
        <w:rPr>
          <w:rFonts w:ascii="Times New Roman" w:eastAsia="Calibri" w:hAnsi="Times New Roman" w:cs="Times New Roman"/>
          <w:b/>
          <w:sz w:val="28"/>
          <w:szCs w:val="28"/>
          <w:lang w:val="en-US"/>
        </w:rPr>
        <w:lastRenderedPageBreak/>
        <w:t xml:space="preserve">Figure S2. </w:t>
      </w:r>
      <w:r w:rsidRPr="00A32DB9">
        <w:rPr>
          <w:rFonts w:ascii="Times New Roman" w:eastAsia="Calibri" w:hAnsi="Times New Roman" w:cs="Times New Roman"/>
          <w:sz w:val="28"/>
          <w:szCs w:val="28"/>
          <w:lang w:val="en-US"/>
        </w:rPr>
        <w:t>Das-</w:t>
      </w:r>
      <w:proofErr w:type="spellStart"/>
      <w:r w:rsidRPr="00A32DB9">
        <w:rPr>
          <w:rFonts w:ascii="Times New Roman" w:eastAsia="Calibri" w:hAnsi="Times New Roman" w:cs="Times New Roman"/>
          <w:sz w:val="28"/>
          <w:szCs w:val="28"/>
          <w:lang w:val="en-US"/>
        </w:rPr>
        <w:t>Pappu</w:t>
      </w:r>
      <w:proofErr w:type="spellEnd"/>
      <w:r w:rsidRPr="00A32DB9">
        <w:rPr>
          <w:rFonts w:ascii="Times New Roman" w:eastAsia="Calibri" w:hAnsi="Times New Roman" w:cs="Times New Roman"/>
          <w:sz w:val="28"/>
          <w:szCs w:val="28"/>
          <w:lang w:val="en-US"/>
        </w:rPr>
        <w:t xml:space="preserve"> diagram created by CIDER (</w:t>
      </w:r>
      <w:hyperlink r:id="rId7" w:history="1">
        <w:r w:rsidRPr="00A32DB9">
          <w:rPr>
            <w:rFonts w:ascii="Times New Roman" w:eastAsia="Calibri" w:hAnsi="Times New Roman" w:cs="Times New Roman"/>
            <w:i/>
            <w:sz w:val="28"/>
            <w:szCs w:val="28"/>
            <w:lang w:val="en-US"/>
          </w:rPr>
          <w:t>http://pappulab.wustl.edu/CIDER</w:t>
        </w:r>
      </w:hyperlink>
      <w:r w:rsidRPr="00A32DB9">
        <w:rPr>
          <w:rFonts w:ascii="Times New Roman" w:eastAsia="Calibri" w:hAnsi="Times New Roman" w:cs="Times New Roman"/>
          <w:sz w:val="28"/>
          <w:szCs w:val="28"/>
          <w:lang w:val="en-US"/>
        </w:rPr>
        <w:t>).</w:t>
      </w:r>
      <w:r w:rsidRPr="00A32DB9">
        <w:rPr>
          <w:rFonts w:ascii="Times New Roman" w:eastAsia="Calibri" w:hAnsi="Times New Roman" w:cs="Times New Roman"/>
          <w:b/>
          <w:noProof/>
          <w:sz w:val="28"/>
          <w:szCs w:val="28"/>
          <w:lang w:val="en-US" w:eastAsia="en-PH"/>
        </w:rPr>
        <w:t xml:space="preserve"> </w:t>
      </w:r>
      <w:r w:rsidRPr="00A32DB9">
        <w:rPr>
          <w:rFonts w:ascii="Times New Roman" w:eastAsia="Calibri" w:hAnsi="Times New Roman" w:cs="Times New Roman"/>
          <w:noProof/>
          <w:sz w:val="28"/>
          <w:szCs w:val="28"/>
          <w:lang w:val="en-PH" w:eastAsia="en-PH"/>
        </w:rPr>
        <w:t>The physicochemical properties of each colored zone are explained in the insert. Dsup protein is marked with black dot.</w:t>
      </w:r>
    </w:p>
    <w:p w:rsidR="00A32DB9" w:rsidRPr="00A32DB9" w:rsidRDefault="00A32DB9" w:rsidP="00A32DB9">
      <w:pPr>
        <w:spacing w:after="200" w:line="360" w:lineRule="auto"/>
        <w:jc w:val="center"/>
        <w:rPr>
          <w:rFonts w:ascii="Times New Roman" w:eastAsia="Calibri" w:hAnsi="Times New Roman" w:cs="Times New Roman"/>
          <w:b/>
          <w:sz w:val="28"/>
          <w:szCs w:val="28"/>
          <w:lang w:val="en-US"/>
        </w:rPr>
      </w:pPr>
      <w:r w:rsidRPr="00A32DB9">
        <w:rPr>
          <w:rFonts w:ascii="Times New Roman" w:eastAsia="Calibri" w:hAnsi="Times New Roman" w:cs="Times New Roman"/>
          <w:b/>
          <w:noProof/>
          <w:sz w:val="28"/>
          <w:szCs w:val="28"/>
          <w:lang w:eastAsia="ru-RU"/>
        </w:rPr>
        <w:drawing>
          <wp:inline distT="0" distB="0" distL="0" distR="0" wp14:anchorId="2F29705B" wp14:editId="63C82B66">
            <wp:extent cx="3960000" cy="2863492"/>
            <wp:effectExtent l="19050" t="0" r="2400" b="0"/>
            <wp:docPr id="3" name="Рисунок 8" descr="D:\Materials for Dsup Articles\Dsup structural study\Figures in article\CORRECTED\Dsup in TFE supplimentar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aterials for Dsup Articles\Dsup structural study\Figures in article\CORRECTED\Dsup in TFE supplimentary.tif"/>
                    <pic:cNvPicPr>
                      <a:picLocks noChangeAspect="1" noChangeArrowheads="1"/>
                    </pic:cNvPicPr>
                  </pic:nvPicPr>
                  <pic:blipFill>
                    <a:blip r:embed="rId8" cstate="print"/>
                    <a:srcRect/>
                    <a:stretch>
                      <a:fillRect/>
                    </a:stretch>
                  </pic:blipFill>
                  <pic:spPr bwMode="auto">
                    <a:xfrm>
                      <a:off x="0" y="0"/>
                      <a:ext cx="3960000" cy="2863492"/>
                    </a:xfrm>
                    <a:prstGeom prst="rect">
                      <a:avLst/>
                    </a:prstGeom>
                    <a:noFill/>
                    <a:ln w="9525">
                      <a:noFill/>
                      <a:miter lim="800000"/>
                      <a:headEnd/>
                      <a:tailEnd/>
                    </a:ln>
                  </pic:spPr>
                </pic:pic>
              </a:graphicData>
            </a:graphic>
          </wp:inline>
        </w:drawing>
      </w:r>
      <w:r w:rsidRPr="00A32DB9">
        <w:rPr>
          <w:rFonts w:ascii="Times New Roman" w:eastAsia="Calibri" w:hAnsi="Times New Roman" w:cs="Times New Roman"/>
          <w:b/>
          <w:noProof/>
          <w:sz w:val="28"/>
          <w:szCs w:val="28"/>
          <w:lang w:val="en-PH" w:eastAsia="en-PH"/>
        </w:rPr>
        <w:t xml:space="preserve">  </w:t>
      </w:r>
    </w:p>
    <w:p w:rsidR="00A32DB9" w:rsidRPr="00A32DB9" w:rsidRDefault="00A32DB9" w:rsidP="00A32DB9">
      <w:pPr>
        <w:spacing w:after="200" w:line="360" w:lineRule="auto"/>
        <w:jc w:val="both"/>
        <w:rPr>
          <w:rFonts w:ascii="Times New Roman" w:eastAsia="Calibri" w:hAnsi="Times New Roman" w:cs="Times New Roman"/>
          <w:sz w:val="28"/>
          <w:szCs w:val="28"/>
          <w:lang w:val="en-US"/>
        </w:rPr>
      </w:pPr>
      <w:r w:rsidRPr="00A32DB9">
        <w:rPr>
          <w:rFonts w:ascii="Times New Roman" w:eastAsia="Calibri" w:hAnsi="Times New Roman" w:cs="Times New Roman"/>
          <w:b/>
          <w:sz w:val="28"/>
          <w:szCs w:val="28"/>
          <w:lang w:val="en-US"/>
        </w:rPr>
        <w:t>Figure S3.</w:t>
      </w:r>
      <w:r w:rsidRPr="00A32DB9">
        <w:rPr>
          <w:rFonts w:ascii="Times New Roman" w:eastAsia="Calibri" w:hAnsi="Times New Roman" w:cs="Times New Roman"/>
          <w:sz w:val="28"/>
          <w:szCs w:val="28"/>
          <w:lang w:val="en-US"/>
        </w:rPr>
        <w:t xml:space="preserve"> CD wavelength scans of Dsup protein in PBS and 50% </w:t>
      </w:r>
      <w:proofErr w:type="spellStart"/>
      <w:r w:rsidRPr="00A32DB9">
        <w:rPr>
          <w:rFonts w:ascii="Times New Roman" w:eastAsia="Calibri" w:hAnsi="Times New Roman" w:cs="Times New Roman"/>
          <w:sz w:val="28"/>
          <w:szCs w:val="28"/>
          <w:lang w:val="en-US"/>
        </w:rPr>
        <w:t>trifluoroethanol</w:t>
      </w:r>
      <w:proofErr w:type="spellEnd"/>
      <w:r w:rsidRPr="00A32DB9">
        <w:rPr>
          <w:rFonts w:ascii="Times New Roman" w:eastAsia="Calibri" w:hAnsi="Times New Roman" w:cs="Times New Roman"/>
          <w:sz w:val="28"/>
          <w:szCs w:val="28"/>
          <w:lang w:val="en-US"/>
        </w:rPr>
        <w:t xml:space="preserve"> indicate the formation of α-helical regions.</w:t>
      </w:r>
    </w:p>
    <w:p w:rsidR="00A32DB9" w:rsidRPr="00A32DB9" w:rsidRDefault="00A32DB9" w:rsidP="00A32DB9">
      <w:pPr>
        <w:spacing w:after="200" w:line="360" w:lineRule="auto"/>
        <w:jc w:val="both"/>
        <w:rPr>
          <w:rFonts w:ascii="Times New Roman" w:eastAsia="Calibri" w:hAnsi="Times New Roman" w:cs="Times New Roman"/>
          <w:sz w:val="28"/>
          <w:szCs w:val="28"/>
          <w:lang w:val="en-US"/>
        </w:rPr>
      </w:pPr>
      <w:r w:rsidRPr="00A32DB9">
        <w:rPr>
          <w:rFonts w:ascii="Times New Roman" w:eastAsia="Calibri" w:hAnsi="Times New Roman" w:cs="Times New Roman"/>
          <w:noProof/>
          <w:sz w:val="28"/>
          <w:szCs w:val="28"/>
          <w:lang w:eastAsia="ru-RU"/>
        </w:rPr>
        <w:drawing>
          <wp:inline distT="0" distB="0" distL="0" distR="0" wp14:anchorId="1135C7D1" wp14:editId="573F55A5">
            <wp:extent cx="6120000" cy="3707619"/>
            <wp:effectExtent l="19050" t="0" r="0" b="0"/>
            <wp:docPr id="4" name="Рисунок 9" descr="D:\Materials for Dsup Articles\Dsup structural study\Figures in article\CORRECTED\Total EOM Dsup in H2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aterials for Dsup Articles\Dsup structural study\Figures in article\CORRECTED\Total EOM Dsup in H2O.tif"/>
                    <pic:cNvPicPr>
                      <a:picLocks noChangeAspect="1" noChangeArrowheads="1"/>
                    </pic:cNvPicPr>
                  </pic:nvPicPr>
                  <pic:blipFill>
                    <a:blip r:embed="rId9" cstate="print"/>
                    <a:srcRect/>
                    <a:stretch>
                      <a:fillRect/>
                    </a:stretch>
                  </pic:blipFill>
                  <pic:spPr bwMode="auto">
                    <a:xfrm>
                      <a:off x="0" y="0"/>
                      <a:ext cx="6120000" cy="3707619"/>
                    </a:xfrm>
                    <a:prstGeom prst="rect">
                      <a:avLst/>
                    </a:prstGeom>
                    <a:noFill/>
                    <a:ln w="9525">
                      <a:noFill/>
                      <a:miter lim="800000"/>
                      <a:headEnd/>
                      <a:tailEnd/>
                    </a:ln>
                  </pic:spPr>
                </pic:pic>
              </a:graphicData>
            </a:graphic>
          </wp:inline>
        </w:drawing>
      </w:r>
      <w:r w:rsidRPr="00A32DB9">
        <w:rPr>
          <w:rFonts w:ascii="Times New Roman" w:eastAsia="Calibri" w:hAnsi="Times New Roman" w:cs="Times New Roman"/>
          <w:noProof/>
          <w:sz w:val="28"/>
          <w:szCs w:val="28"/>
          <w:lang w:val="en-PH" w:eastAsia="en-PH"/>
        </w:rPr>
        <w:t xml:space="preserve"> </w:t>
      </w:r>
    </w:p>
    <w:p w:rsidR="00A32DB9" w:rsidRDefault="00A32DB9" w:rsidP="00A32DB9">
      <w:pPr>
        <w:spacing w:after="0" w:line="360" w:lineRule="auto"/>
        <w:jc w:val="both"/>
        <w:rPr>
          <w:rFonts w:ascii="Times New Roman" w:eastAsia="Calibri" w:hAnsi="Times New Roman" w:cs="Times New Roman"/>
          <w:sz w:val="28"/>
          <w:szCs w:val="28"/>
          <w:lang w:val="en-US"/>
        </w:rPr>
      </w:pPr>
      <w:r w:rsidRPr="00A32DB9">
        <w:rPr>
          <w:rFonts w:ascii="Times New Roman" w:eastAsia="Calibri" w:hAnsi="Times New Roman" w:cs="Times New Roman"/>
          <w:b/>
          <w:sz w:val="28"/>
          <w:szCs w:val="28"/>
          <w:lang w:val="en-US"/>
        </w:rPr>
        <w:lastRenderedPageBreak/>
        <w:t xml:space="preserve">Figure S4. </w:t>
      </w:r>
      <w:r w:rsidRPr="00A32DB9">
        <w:rPr>
          <w:rFonts w:ascii="Times New Roman" w:eastAsia="Calibri" w:hAnsi="Times New Roman" w:cs="Times New Roman"/>
          <w:sz w:val="28"/>
          <w:szCs w:val="28"/>
          <w:lang w:val="en-PH"/>
        </w:rPr>
        <w:t>Application of EOM to SAXS data of Dsup in H</w:t>
      </w:r>
      <w:r w:rsidRPr="00A32DB9">
        <w:rPr>
          <w:rFonts w:ascii="Times New Roman" w:eastAsia="Calibri" w:hAnsi="Times New Roman" w:cs="Times New Roman"/>
          <w:sz w:val="28"/>
          <w:szCs w:val="28"/>
          <w:vertAlign w:val="subscript"/>
          <w:lang w:val="en-PH"/>
        </w:rPr>
        <w:t>2</w:t>
      </w:r>
      <w:r w:rsidRPr="00A32DB9">
        <w:rPr>
          <w:rFonts w:ascii="Times New Roman" w:eastAsia="Calibri" w:hAnsi="Times New Roman" w:cs="Times New Roman"/>
          <w:sz w:val="28"/>
          <w:szCs w:val="28"/>
          <w:lang w:val="en-PH"/>
        </w:rPr>
        <w:t>O.  (</w:t>
      </w:r>
      <w:r w:rsidRPr="00A32DB9">
        <w:rPr>
          <w:rFonts w:ascii="Times New Roman" w:eastAsia="Calibri" w:hAnsi="Times New Roman" w:cs="Times New Roman"/>
          <w:b/>
          <w:sz w:val="28"/>
          <w:szCs w:val="28"/>
          <w:lang w:val="en-PH"/>
        </w:rPr>
        <w:t>a</w:t>
      </w:r>
      <w:r w:rsidRPr="00A32DB9">
        <w:rPr>
          <w:rFonts w:ascii="Times New Roman" w:eastAsia="Calibri" w:hAnsi="Times New Roman" w:cs="Times New Roman"/>
          <w:sz w:val="28"/>
          <w:szCs w:val="28"/>
          <w:lang w:val="en-PH"/>
        </w:rPr>
        <w:t>) – Fit of EOM ensemble to Dsup solution in H</w:t>
      </w:r>
      <w:r w:rsidRPr="00A32DB9">
        <w:rPr>
          <w:rFonts w:ascii="Times New Roman" w:eastAsia="Calibri" w:hAnsi="Times New Roman" w:cs="Times New Roman"/>
          <w:sz w:val="28"/>
          <w:szCs w:val="28"/>
          <w:vertAlign w:val="subscript"/>
          <w:lang w:val="en-PH"/>
        </w:rPr>
        <w:t>2</w:t>
      </w:r>
      <w:r w:rsidRPr="00A32DB9">
        <w:rPr>
          <w:rFonts w:ascii="Times New Roman" w:eastAsia="Calibri" w:hAnsi="Times New Roman" w:cs="Times New Roman"/>
          <w:sz w:val="28"/>
          <w:szCs w:val="28"/>
          <w:lang w:val="en-PH"/>
        </w:rPr>
        <w:t>O; (</w:t>
      </w:r>
      <w:r w:rsidRPr="00A32DB9">
        <w:rPr>
          <w:rFonts w:ascii="Times New Roman" w:eastAsia="Calibri" w:hAnsi="Times New Roman" w:cs="Times New Roman"/>
          <w:b/>
          <w:sz w:val="28"/>
          <w:szCs w:val="28"/>
          <w:lang w:val="en-PH"/>
        </w:rPr>
        <w:t>b</w:t>
      </w:r>
      <w:r w:rsidRPr="00A32DB9">
        <w:rPr>
          <w:rFonts w:ascii="Times New Roman" w:eastAsia="Calibri" w:hAnsi="Times New Roman" w:cs="Times New Roman"/>
          <w:sz w:val="28"/>
          <w:szCs w:val="28"/>
          <w:lang w:val="en-PH"/>
        </w:rPr>
        <w:t>) – Distribution of R</w:t>
      </w:r>
      <w:r w:rsidRPr="00A32DB9">
        <w:rPr>
          <w:rFonts w:ascii="Times New Roman" w:eastAsia="Calibri" w:hAnsi="Times New Roman" w:cs="Times New Roman"/>
          <w:sz w:val="28"/>
          <w:szCs w:val="28"/>
          <w:vertAlign w:val="subscript"/>
          <w:lang w:val="en-PH"/>
        </w:rPr>
        <w:t>g</w:t>
      </w:r>
      <w:r w:rsidRPr="00A32DB9">
        <w:rPr>
          <w:rFonts w:ascii="Times New Roman" w:eastAsia="Calibri" w:hAnsi="Times New Roman" w:cs="Times New Roman"/>
          <w:sz w:val="28"/>
          <w:szCs w:val="28"/>
          <w:lang w:val="en-PH"/>
        </w:rPr>
        <w:t xml:space="preserve"> for the pool of random models Dsup (</w:t>
      </w:r>
      <w:r w:rsidRPr="00A32DB9">
        <w:rPr>
          <w:rFonts w:ascii="Times New Roman" w:eastAsia="Calibri" w:hAnsi="Times New Roman" w:cs="Times New Roman"/>
          <w:i/>
          <w:sz w:val="28"/>
          <w:szCs w:val="28"/>
          <w:lang w:val="en-PH"/>
        </w:rPr>
        <w:t>grey</w:t>
      </w:r>
      <w:r w:rsidRPr="00A32DB9">
        <w:rPr>
          <w:rFonts w:ascii="Times New Roman" w:eastAsia="Calibri" w:hAnsi="Times New Roman" w:cs="Times New Roman"/>
          <w:sz w:val="28"/>
          <w:szCs w:val="28"/>
          <w:lang w:val="en-PH"/>
        </w:rPr>
        <w:t>) and optimized ensemble (</w:t>
      </w:r>
      <w:r w:rsidRPr="00A32DB9">
        <w:rPr>
          <w:rFonts w:ascii="Times New Roman" w:eastAsia="Calibri" w:hAnsi="Times New Roman" w:cs="Times New Roman"/>
          <w:i/>
          <w:sz w:val="28"/>
          <w:szCs w:val="28"/>
          <w:lang w:val="en-PH"/>
        </w:rPr>
        <w:t>blue</w:t>
      </w:r>
      <w:r w:rsidRPr="00A32DB9">
        <w:rPr>
          <w:rFonts w:ascii="Times New Roman" w:eastAsia="Calibri" w:hAnsi="Times New Roman" w:cs="Times New Roman"/>
          <w:sz w:val="28"/>
          <w:szCs w:val="28"/>
          <w:lang w:val="en-PH"/>
        </w:rPr>
        <w:t>); (</w:t>
      </w:r>
      <w:r w:rsidRPr="00A32DB9">
        <w:rPr>
          <w:rFonts w:ascii="Times New Roman" w:eastAsia="Calibri" w:hAnsi="Times New Roman" w:cs="Times New Roman"/>
          <w:b/>
          <w:sz w:val="28"/>
          <w:szCs w:val="28"/>
          <w:lang w:val="en-PH"/>
        </w:rPr>
        <w:t>c</w:t>
      </w:r>
      <w:r w:rsidRPr="00A32DB9">
        <w:rPr>
          <w:rFonts w:ascii="Times New Roman" w:eastAsia="Calibri" w:hAnsi="Times New Roman" w:cs="Times New Roman"/>
          <w:sz w:val="28"/>
          <w:szCs w:val="28"/>
          <w:lang w:val="en-PH"/>
        </w:rPr>
        <w:t>) – Ensemble of 6 conformations of Dsup that fit the SAXS curve (see figure (</w:t>
      </w:r>
      <w:r w:rsidRPr="00A32DB9">
        <w:rPr>
          <w:rFonts w:ascii="Times New Roman" w:eastAsia="Calibri" w:hAnsi="Times New Roman" w:cs="Times New Roman"/>
          <w:b/>
          <w:sz w:val="28"/>
          <w:szCs w:val="28"/>
          <w:lang w:val="en-PH"/>
        </w:rPr>
        <w:t>a</w:t>
      </w:r>
      <w:r w:rsidRPr="00A32DB9">
        <w:rPr>
          <w:rFonts w:ascii="Times New Roman" w:eastAsia="Calibri" w:hAnsi="Times New Roman" w:cs="Times New Roman"/>
          <w:sz w:val="28"/>
          <w:szCs w:val="28"/>
          <w:lang w:val="en-PH"/>
        </w:rPr>
        <w:t xml:space="preserve">)). </w:t>
      </w:r>
      <w:r w:rsidRPr="00A32DB9">
        <w:rPr>
          <w:rFonts w:ascii="Times New Roman" w:eastAsia="Calibri" w:hAnsi="Times New Roman" w:cs="Times New Roman"/>
          <w:sz w:val="28"/>
          <w:szCs w:val="28"/>
          <w:lang w:val="en-US"/>
        </w:rPr>
        <w:t>For a qualitative description of the Dsup structure in H</w:t>
      </w:r>
      <w:r w:rsidRPr="00A32DB9">
        <w:rPr>
          <w:rFonts w:ascii="Times New Roman" w:eastAsia="Calibri" w:hAnsi="Times New Roman" w:cs="Times New Roman"/>
          <w:sz w:val="28"/>
          <w:szCs w:val="28"/>
          <w:vertAlign w:val="subscript"/>
          <w:lang w:val="en-US"/>
        </w:rPr>
        <w:t>2</w:t>
      </w:r>
      <w:r w:rsidRPr="00A32DB9">
        <w:rPr>
          <w:rFonts w:ascii="Times New Roman" w:eastAsia="Calibri" w:hAnsi="Times New Roman" w:cs="Times New Roman"/>
          <w:sz w:val="28"/>
          <w:szCs w:val="28"/>
          <w:lang w:val="en-US"/>
        </w:rPr>
        <w:t xml:space="preserve">O solution, we used the EOM program (see Methods section). The ensemble of </w:t>
      </w:r>
      <w:proofErr w:type="gramStart"/>
      <w:r w:rsidRPr="00A32DB9">
        <w:rPr>
          <w:rFonts w:ascii="Times New Roman" w:eastAsia="Calibri" w:hAnsi="Times New Roman" w:cs="Times New Roman"/>
          <w:bCs/>
          <w:sz w:val="28"/>
          <w:szCs w:val="28"/>
          <w:lang w:val="en-US"/>
        </w:rPr>
        <w:t>6</w:t>
      </w:r>
      <w:proofErr w:type="gramEnd"/>
      <w:r w:rsidRPr="00A32DB9">
        <w:rPr>
          <w:rFonts w:ascii="Times New Roman" w:eastAsia="Calibri" w:hAnsi="Times New Roman" w:cs="Times New Roman"/>
          <w:sz w:val="28"/>
          <w:szCs w:val="28"/>
          <w:lang w:val="en-US"/>
        </w:rPr>
        <w:t xml:space="preserve"> Dsup conformations was obtained (shown in</w:t>
      </w:r>
      <w:r w:rsidRPr="00A32DB9">
        <w:rPr>
          <w:rFonts w:ascii="Calibri" w:eastAsia="Calibri" w:hAnsi="Calibri" w:cs="Times New Roman"/>
          <w:b/>
          <w:sz w:val="28"/>
          <w:szCs w:val="28"/>
          <w:lang w:val="en-PH"/>
        </w:rPr>
        <w:t xml:space="preserve"> </w:t>
      </w:r>
      <w:r w:rsidRPr="00A32DB9">
        <w:rPr>
          <w:rFonts w:ascii="Times New Roman" w:eastAsia="Calibri" w:hAnsi="Times New Roman" w:cs="Times New Roman"/>
          <w:sz w:val="28"/>
          <w:szCs w:val="28"/>
          <w:lang w:val="en-PH"/>
        </w:rPr>
        <w:t>Fig. S4c</w:t>
      </w:r>
      <w:r w:rsidRPr="00A32DB9">
        <w:rPr>
          <w:rFonts w:ascii="Times New Roman" w:eastAsia="Calibri" w:hAnsi="Times New Roman" w:cs="Times New Roman"/>
          <w:b/>
          <w:sz w:val="28"/>
          <w:szCs w:val="28"/>
          <w:lang w:val="en-US"/>
        </w:rPr>
        <w:t>)</w:t>
      </w:r>
      <w:r w:rsidRPr="00A32DB9">
        <w:rPr>
          <w:rFonts w:ascii="Times New Roman" w:eastAsia="Calibri" w:hAnsi="Times New Roman" w:cs="Times New Roman"/>
          <w:sz w:val="28"/>
          <w:szCs w:val="28"/>
          <w:lang w:val="en-US"/>
        </w:rPr>
        <w:t xml:space="preserve"> whose average calculated scattering curves fit SAXS data with lowest χ</w:t>
      </w:r>
      <w:r w:rsidRPr="00A32DB9">
        <w:rPr>
          <w:rFonts w:ascii="Times New Roman" w:eastAsia="Calibri" w:hAnsi="Times New Roman" w:cs="Times New Roman"/>
          <w:sz w:val="28"/>
          <w:szCs w:val="28"/>
          <w:vertAlign w:val="superscript"/>
          <w:lang w:val="en-US"/>
        </w:rPr>
        <w:t>2</w:t>
      </w:r>
      <w:r w:rsidRPr="00A32DB9">
        <w:rPr>
          <w:rFonts w:ascii="Times New Roman" w:eastAsia="Calibri" w:hAnsi="Times New Roman" w:cs="Times New Roman"/>
          <w:sz w:val="28"/>
          <w:szCs w:val="28"/>
          <w:lang w:val="en-US"/>
        </w:rPr>
        <w:t xml:space="preserve"> = 1.342. The probability distribution for </w:t>
      </w:r>
      <w:proofErr w:type="spellStart"/>
      <w:r w:rsidRPr="00A32DB9">
        <w:rPr>
          <w:rFonts w:ascii="Times New Roman" w:eastAsia="Calibri" w:hAnsi="Times New Roman" w:cs="Times New Roman"/>
          <w:sz w:val="28"/>
          <w:szCs w:val="28"/>
          <w:lang w:val="en-US"/>
        </w:rPr>
        <w:t>R</w:t>
      </w:r>
      <w:r w:rsidRPr="00A32DB9">
        <w:rPr>
          <w:rFonts w:ascii="Times New Roman" w:eastAsia="Calibri" w:hAnsi="Times New Roman" w:cs="Times New Roman"/>
          <w:sz w:val="28"/>
          <w:szCs w:val="28"/>
          <w:vertAlign w:val="subscript"/>
          <w:lang w:val="en-US"/>
        </w:rPr>
        <w:t>g</w:t>
      </w:r>
      <w:proofErr w:type="spellEnd"/>
      <w:r w:rsidRPr="00A32DB9">
        <w:rPr>
          <w:rFonts w:ascii="Times New Roman" w:eastAsia="Calibri" w:hAnsi="Times New Roman" w:cs="Times New Roman"/>
          <w:sz w:val="28"/>
          <w:szCs w:val="28"/>
          <w:lang w:val="en-US"/>
        </w:rPr>
        <w:t xml:space="preserve"> for the ensemble of protein conformations </w:t>
      </w:r>
      <w:proofErr w:type="gramStart"/>
      <w:r w:rsidRPr="00A32DB9">
        <w:rPr>
          <w:rFonts w:ascii="Times New Roman" w:eastAsia="Calibri" w:hAnsi="Times New Roman" w:cs="Times New Roman"/>
          <w:sz w:val="28"/>
          <w:szCs w:val="28"/>
          <w:lang w:val="en-US"/>
        </w:rPr>
        <w:t>is shown</w:t>
      </w:r>
      <w:proofErr w:type="gramEnd"/>
      <w:r w:rsidRPr="00A32DB9">
        <w:rPr>
          <w:rFonts w:ascii="Times New Roman" w:eastAsia="Calibri" w:hAnsi="Times New Roman" w:cs="Times New Roman"/>
          <w:sz w:val="28"/>
          <w:szCs w:val="28"/>
          <w:lang w:val="en-US"/>
        </w:rPr>
        <w:t xml:space="preserve"> in</w:t>
      </w:r>
      <w:r w:rsidRPr="00A32DB9">
        <w:rPr>
          <w:rFonts w:ascii="Times New Roman" w:eastAsia="Calibri" w:hAnsi="Times New Roman" w:cs="Times New Roman"/>
          <w:b/>
          <w:sz w:val="28"/>
          <w:szCs w:val="28"/>
          <w:lang w:val="en-PH"/>
        </w:rPr>
        <w:t xml:space="preserve"> </w:t>
      </w:r>
      <w:r w:rsidRPr="00A32DB9">
        <w:rPr>
          <w:rFonts w:ascii="Times New Roman" w:eastAsia="Calibri" w:hAnsi="Times New Roman" w:cs="Times New Roman"/>
          <w:sz w:val="28"/>
          <w:szCs w:val="28"/>
          <w:lang w:val="en-PH"/>
        </w:rPr>
        <w:t>Fig. S4b</w:t>
      </w:r>
      <w:r w:rsidRPr="00A32DB9">
        <w:rPr>
          <w:rFonts w:ascii="Times New Roman" w:eastAsia="Calibri" w:hAnsi="Times New Roman" w:cs="Times New Roman"/>
          <w:sz w:val="28"/>
          <w:szCs w:val="28"/>
          <w:lang w:val="en-US"/>
        </w:rPr>
        <w:t xml:space="preserve">. The averaged </w:t>
      </w:r>
      <w:proofErr w:type="spellStart"/>
      <w:r w:rsidRPr="00A32DB9">
        <w:rPr>
          <w:rFonts w:ascii="Times New Roman" w:eastAsia="Calibri" w:hAnsi="Times New Roman" w:cs="Times New Roman"/>
          <w:sz w:val="28"/>
          <w:szCs w:val="28"/>
          <w:lang w:val="en-US"/>
        </w:rPr>
        <w:t>R</w:t>
      </w:r>
      <w:r w:rsidRPr="00A32DB9">
        <w:rPr>
          <w:rFonts w:ascii="Times New Roman" w:eastAsia="Calibri" w:hAnsi="Times New Roman" w:cs="Times New Roman"/>
          <w:sz w:val="28"/>
          <w:szCs w:val="28"/>
          <w:vertAlign w:val="subscript"/>
          <w:lang w:val="en-US"/>
        </w:rPr>
        <w:t>g</w:t>
      </w:r>
      <w:proofErr w:type="spellEnd"/>
      <w:r w:rsidRPr="00A32DB9">
        <w:rPr>
          <w:rFonts w:ascii="Times New Roman" w:eastAsia="Calibri" w:hAnsi="Times New Roman" w:cs="Times New Roman"/>
          <w:sz w:val="28"/>
          <w:szCs w:val="28"/>
          <w:lang w:val="en-US"/>
        </w:rPr>
        <w:t xml:space="preserve"> of pool of all conformations is 60 Å that is close to values obtained by Fourier transform and Gauss coil model (Table 1). The distributions for the optimized ensemble are bimodal. The distribution for </w:t>
      </w:r>
      <w:proofErr w:type="spellStart"/>
      <w:r w:rsidRPr="00A32DB9">
        <w:rPr>
          <w:rFonts w:ascii="Times New Roman" w:eastAsia="Calibri" w:hAnsi="Times New Roman" w:cs="Times New Roman"/>
          <w:sz w:val="28"/>
          <w:szCs w:val="28"/>
          <w:lang w:val="en-US"/>
        </w:rPr>
        <w:t>R</w:t>
      </w:r>
      <w:r w:rsidRPr="00A32DB9">
        <w:rPr>
          <w:rFonts w:ascii="Times New Roman" w:eastAsia="Calibri" w:hAnsi="Times New Roman" w:cs="Times New Roman"/>
          <w:sz w:val="28"/>
          <w:szCs w:val="28"/>
          <w:vertAlign w:val="subscript"/>
          <w:lang w:val="en-US"/>
        </w:rPr>
        <w:t>g</w:t>
      </w:r>
      <w:proofErr w:type="spellEnd"/>
      <w:r w:rsidRPr="00A32DB9">
        <w:rPr>
          <w:rFonts w:ascii="Times New Roman" w:eastAsia="Calibri" w:hAnsi="Times New Roman" w:cs="Times New Roman"/>
          <w:sz w:val="28"/>
          <w:szCs w:val="28"/>
          <w:lang w:val="en-US"/>
        </w:rPr>
        <w:t xml:space="preserve"> has maximums at ~50 and ~100 Å. The first value is less than one for the pool and obtained by other methods, while the average value is noticeably higher and equal to 80 Å. This overestimation </w:t>
      </w:r>
      <w:proofErr w:type="gramStart"/>
      <w:r w:rsidRPr="00A32DB9">
        <w:rPr>
          <w:rFonts w:ascii="Times New Roman" w:eastAsia="Calibri" w:hAnsi="Times New Roman" w:cs="Times New Roman"/>
          <w:sz w:val="28"/>
          <w:szCs w:val="28"/>
          <w:lang w:val="en-US"/>
        </w:rPr>
        <w:t>is caused</w:t>
      </w:r>
      <w:proofErr w:type="gramEnd"/>
      <w:r w:rsidRPr="00A32DB9">
        <w:rPr>
          <w:rFonts w:ascii="Times New Roman" w:eastAsia="Calibri" w:hAnsi="Times New Roman" w:cs="Times New Roman"/>
          <w:sz w:val="28"/>
          <w:szCs w:val="28"/>
          <w:lang w:val="en-US"/>
        </w:rPr>
        <w:t xml:space="preserve"> by the presence of the second mode in the histogram. The bimodality can indicate on two major conformations that the Dsup can </w:t>
      </w:r>
      <w:proofErr w:type="gramStart"/>
      <w:r w:rsidRPr="00A32DB9">
        <w:rPr>
          <w:rFonts w:ascii="Times New Roman" w:eastAsia="Calibri" w:hAnsi="Times New Roman" w:cs="Times New Roman"/>
          <w:sz w:val="28"/>
          <w:szCs w:val="28"/>
          <w:lang w:val="en-US"/>
        </w:rPr>
        <w:t>adopt:</w:t>
      </w:r>
      <w:proofErr w:type="gramEnd"/>
      <w:r w:rsidRPr="00A32DB9">
        <w:rPr>
          <w:rFonts w:ascii="Times New Roman" w:eastAsia="Calibri" w:hAnsi="Times New Roman" w:cs="Times New Roman"/>
          <w:sz w:val="28"/>
          <w:szCs w:val="28"/>
          <w:lang w:val="en-US"/>
        </w:rPr>
        <w:t xml:space="preserve"> more compact with </w:t>
      </w:r>
      <w:proofErr w:type="spellStart"/>
      <w:r w:rsidRPr="00A32DB9">
        <w:rPr>
          <w:rFonts w:ascii="Times New Roman" w:eastAsia="Calibri" w:hAnsi="Times New Roman" w:cs="Times New Roman"/>
          <w:sz w:val="28"/>
          <w:szCs w:val="28"/>
          <w:lang w:val="en-US"/>
        </w:rPr>
        <w:t>R</w:t>
      </w:r>
      <w:r w:rsidRPr="00A32DB9">
        <w:rPr>
          <w:rFonts w:ascii="Times New Roman" w:eastAsia="Calibri" w:hAnsi="Times New Roman" w:cs="Times New Roman"/>
          <w:sz w:val="28"/>
          <w:szCs w:val="28"/>
          <w:vertAlign w:val="subscript"/>
          <w:lang w:val="en-US"/>
        </w:rPr>
        <w:t>g</w:t>
      </w:r>
      <w:proofErr w:type="spellEnd"/>
      <w:r w:rsidRPr="00A32DB9">
        <w:rPr>
          <w:rFonts w:ascii="Times New Roman" w:eastAsia="Calibri" w:hAnsi="Times New Roman" w:cs="Times New Roman"/>
          <w:sz w:val="28"/>
          <w:szCs w:val="28"/>
          <w:lang w:val="en-US"/>
        </w:rPr>
        <w:t xml:space="preserve"> about 50 Å and more extended with </w:t>
      </w:r>
      <w:proofErr w:type="spellStart"/>
      <w:r w:rsidRPr="00A32DB9">
        <w:rPr>
          <w:rFonts w:ascii="Times New Roman" w:eastAsia="Calibri" w:hAnsi="Times New Roman" w:cs="Times New Roman"/>
          <w:sz w:val="28"/>
          <w:szCs w:val="28"/>
          <w:lang w:val="en-US"/>
        </w:rPr>
        <w:t>R</w:t>
      </w:r>
      <w:r w:rsidRPr="00A32DB9">
        <w:rPr>
          <w:rFonts w:ascii="Times New Roman" w:eastAsia="Calibri" w:hAnsi="Times New Roman" w:cs="Times New Roman"/>
          <w:sz w:val="28"/>
          <w:szCs w:val="28"/>
          <w:vertAlign w:val="subscript"/>
          <w:lang w:val="en-US"/>
        </w:rPr>
        <w:t>g</w:t>
      </w:r>
      <w:proofErr w:type="spellEnd"/>
      <w:r w:rsidRPr="00A32DB9">
        <w:rPr>
          <w:rFonts w:ascii="Times New Roman" w:eastAsia="Calibri" w:hAnsi="Times New Roman" w:cs="Times New Roman"/>
          <w:sz w:val="28"/>
          <w:szCs w:val="28"/>
          <w:lang w:val="en-US"/>
        </w:rPr>
        <w:t xml:space="preserve"> about 100 Å. </w:t>
      </w:r>
    </w:p>
    <w:p w:rsidR="008F1302" w:rsidRPr="00A32DB9" w:rsidRDefault="00341FF8" w:rsidP="008F1302">
      <w:pPr>
        <w:spacing w:after="0" w:line="360" w:lineRule="auto"/>
        <w:jc w:val="center"/>
        <w:rPr>
          <w:rFonts w:ascii="Times New Roman" w:eastAsia="Calibri" w:hAnsi="Times New Roman" w:cs="Times New Roman"/>
          <w:sz w:val="28"/>
          <w:szCs w:val="28"/>
          <w:lang w:val="en-US"/>
        </w:rPr>
      </w:pPr>
      <w:r w:rsidRPr="00341FF8">
        <w:rPr>
          <w:rFonts w:ascii="Times New Roman" w:eastAsia="Calibri" w:hAnsi="Times New Roman" w:cs="Times New Roman"/>
          <w:noProof/>
          <w:sz w:val="28"/>
          <w:szCs w:val="28"/>
          <w:lang w:eastAsia="ru-RU"/>
        </w:rPr>
        <w:drawing>
          <wp:inline distT="0" distB="0" distL="0" distR="0">
            <wp:extent cx="1905000" cy="2651489"/>
            <wp:effectExtent l="0" t="0" r="0" b="0"/>
            <wp:docPr id="1" name="Рисунок 1" descr="D:\Dsup структура\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sup структура\S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8536" cy="2656411"/>
                    </a:xfrm>
                    <a:prstGeom prst="rect">
                      <a:avLst/>
                    </a:prstGeom>
                    <a:noFill/>
                    <a:ln>
                      <a:noFill/>
                    </a:ln>
                  </pic:spPr>
                </pic:pic>
              </a:graphicData>
            </a:graphic>
          </wp:inline>
        </w:drawing>
      </w:r>
      <w:bookmarkStart w:id="0" w:name="_GoBack"/>
      <w:bookmarkEnd w:id="0"/>
    </w:p>
    <w:p w:rsidR="00A32DB9" w:rsidRDefault="008F1302" w:rsidP="00A32DB9">
      <w:pPr>
        <w:spacing w:after="0" w:line="360" w:lineRule="auto"/>
        <w:jc w:val="both"/>
        <w:rPr>
          <w:rFonts w:ascii="Times New Roman" w:eastAsia="Calibri" w:hAnsi="Times New Roman" w:cs="Times New Roman"/>
          <w:sz w:val="28"/>
          <w:szCs w:val="28"/>
          <w:lang w:val="en-US"/>
        </w:rPr>
      </w:pPr>
      <w:r w:rsidRPr="008F1302">
        <w:rPr>
          <w:rFonts w:ascii="Times New Roman" w:eastAsia="Calibri" w:hAnsi="Times New Roman" w:cs="Times New Roman"/>
          <w:b/>
          <w:sz w:val="28"/>
          <w:szCs w:val="28"/>
          <w:lang w:val="en-US"/>
        </w:rPr>
        <w:t>Figure S5.</w:t>
      </w:r>
      <w:r w:rsidRPr="008F1302">
        <w:rPr>
          <w:rFonts w:ascii="Times New Roman" w:eastAsia="Calibri" w:hAnsi="Times New Roman" w:cs="Times New Roman"/>
          <w:sz w:val="28"/>
          <w:szCs w:val="28"/>
          <w:lang w:val="en-US"/>
        </w:rPr>
        <w:t xml:space="preserve"> Original SDS-PAGE gel for 1-4 SEC fractions obtained after Dsup protein purification. M – </w:t>
      </w:r>
      <w:proofErr w:type="gramStart"/>
      <w:r w:rsidRPr="008F1302">
        <w:rPr>
          <w:rFonts w:ascii="Times New Roman" w:eastAsia="Calibri" w:hAnsi="Times New Roman" w:cs="Times New Roman"/>
          <w:sz w:val="28"/>
          <w:szCs w:val="28"/>
          <w:lang w:val="en-US"/>
        </w:rPr>
        <w:t>molecular</w:t>
      </w:r>
      <w:proofErr w:type="gramEnd"/>
      <w:r w:rsidRPr="008F1302">
        <w:rPr>
          <w:rFonts w:ascii="Times New Roman" w:eastAsia="Calibri" w:hAnsi="Times New Roman" w:cs="Times New Roman"/>
          <w:sz w:val="28"/>
          <w:szCs w:val="28"/>
          <w:lang w:val="en-US"/>
        </w:rPr>
        <w:t xml:space="preserve"> weight ma</w:t>
      </w:r>
      <w:r w:rsidR="00135FAA">
        <w:rPr>
          <w:rFonts w:ascii="Times New Roman" w:eastAsia="Calibri" w:hAnsi="Times New Roman" w:cs="Times New Roman"/>
          <w:sz w:val="28"/>
          <w:szCs w:val="28"/>
          <w:lang w:val="en-US"/>
        </w:rPr>
        <w:t>rker</w:t>
      </w:r>
    </w:p>
    <w:p w:rsidR="00341FF8" w:rsidRPr="00A32DB9" w:rsidRDefault="00341FF8" w:rsidP="00A32DB9">
      <w:pPr>
        <w:spacing w:after="0" w:line="360" w:lineRule="auto"/>
        <w:jc w:val="both"/>
        <w:rPr>
          <w:rFonts w:ascii="Times New Roman" w:eastAsia="Calibri" w:hAnsi="Times New Roman" w:cs="Times New Roman"/>
          <w:sz w:val="28"/>
          <w:szCs w:val="28"/>
          <w:lang w:val="en-US"/>
        </w:rPr>
      </w:pPr>
    </w:p>
    <w:p w:rsidR="00A32DB9" w:rsidRPr="00A32DB9" w:rsidRDefault="00A32DB9" w:rsidP="00A32DB9">
      <w:pPr>
        <w:spacing w:after="200" w:line="360" w:lineRule="auto"/>
        <w:jc w:val="both"/>
        <w:rPr>
          <w:rFonts w:ascii="Times New Roman" w:eastAsia="Calibri" w:hAnsi="Times New Roman" w:cs="Times New Roman"/>
          <w:bCs/>
          <w:sz w:val="28"/>
          <w:szCs w:val="28"/>
          <w:lang w:val="en-US"/>
        </w:rPr>
      </w:pPr>
      <w:r w:rsidRPr="00A32DB9">
        <w:rPr>
          <w:rFonts w:ascii="Times New Roman" w:eastAsia="Calibri" w:hAnsi="Times New Roman" w:cs="Times New Roman"/>
          <w:b/>
          <w:bCs/>
          <w:sz w:val="28"/>
          <w:szCs w:val="28"/>
          <w:lang w:val="en-US"/>
        </w:rPr>
        <w:lastRenderedPageBreak/>
        <w:t xml:space="preserve">Table S1. </w:t>
      </w:r>
      <w:r w:rsidRPr="00A32DB9">
        <w:rPr>
          <w:rFonts w:ascii="Times New Roman" w:eastAsia="Calibri" w:hAnsi="Times New Roman" w:cs="Times New Roman"/>
          <w:bCs/>
          <w:sz w:val="28"/>
          <w:szCs w:val="28"/>
          <w:lang w:val="en-US"/>
        </w:rPr>
        <w:t xml:space="preserve">Parameters used for calculating molecular weight MW of Dsup according equation (2) (see section Methods). Protein concentration c was calculated using the dilution coefficients when preparing protein solutions from stocks; whereas the concentration of protein in stock solutions was measured by </w:t>
      </w:r>
      <w:proofErr w:type="spellStart"/>
      <w:r w:rsidRPr="00A32DB9">
        <w:rPr>
          <w:rFonts w:ascii="Times New Roman" w:eastAsia="Calibri" w:hAnsi="Times New Roman" w:cs="Times New Roman"/>
          <w:bCs/>
          <w:sz w:val="28"/>
          <w:szCs w:val="28"/>
          <w:lang w:val="en-US"/>
        </w:rPr>
        <w:t>Qubit</w:t>
      </w:r>
      <w:proofErr w:type="spellEnd"/>
      <w:r w:rsidRPr="00A32DB9">
        <w:rPr>
          <w:rFonts w:ascii="Times New Roman" w:eastAsia="Calibri" w:hAnsi="Times New Roman" w:cs="Times New Roman"/>
          <w:bCs/>
          <w:sz w:val="28"/>
          <w:szCs w:val="28"/>
          <w:lang w:val="en-US"/>
        </w:rPr>
        <w:t xml:space="preserve"> assay (see section Methods). </w:t>
      </w:r>
      <w:proofErr w:type="gramStart"/>
      <w:r w:rsidRPr="00A32DB9">
        <w:rPr>
          <w:rFonts w:ascii="Times New Roman" w:eastAsia="Calibri" w:hAnsi="Times New Roman" w:cs="Times New Roman"/>
          <w:bCs/>
          <w:sz w:val="28"/>
          <w:szCs w:val="28"/>
          <w:lang w:val="en-US"/>
        </w:rPr>
        <w:t>I</w:t>
      </w:r>
      <w:r w:rsidRPr="00A32DB9">
        <w:rPr>
          <w:rFonts w:ascii="Times New Roman" w:eastAsia="Calibri" w:hAnsi="Times New Roman" w:cs="Times New Roman"/>
          <w:bCs/>
          <w:sz w:val="28"/>
          <w:szCs w:val="28"/>
          <w:vertAlign w:val="subscript"/>
          <w:lang w:val="en-US"/>
        </w:rPr>
        <w:t xml:space="preserve">0 </w:t>
      </w:r>
      <w:r w:rsidRPr="00A32DB9">
        <w:rPr>
          <w:rFonts w:ascii="Times New Roman" w:eastAsia="Calibri" w:hAnsi="Times New Roman" w:cs="Times New Roman"/>
          <w:bCs/>
          <w:sz w:val="28"/>
          <w:szCs w:val="28"/>
          <w:lang w:val="en-US"/>
        </w:rPr>
        <w:t xml:space="preserve">was estimated from Fourier transform performed by GNOM program; Specific partial volume of Dsup η was calculated by averaging values calculated by software and presented in literature </w:t>
      </w:r>
      <w:proofErr w:type="gramEnd"/>
      <w:r w:rsidRPr="00A32DB9">
        <w:rPr>
          <w:rFonts w:ascii="Times New Roman" w:eastAsia="Calibri" w:hAnsi="Times New Roman" w:cs="Times New Roman"/>
          <w:bCs/>
          <w:sz w:val="28"/>
          <w:szCs w:val="28"/>
          <w:lang w:val="en-US"/>
        </w:rPr>
        <w:fldChar w:fldCharType="begin" w:fldLock="1"/>
      </w:r>
      <w:r>
        <w:rPr>
          <w:rFonts w:ascii="Times New Roman" w:eastAsia="Calibri" w:hAnsi="Times New Roman" w:cs="Times New Roman"/>
          <w:bCs/>
          <w:sz w:val="28"/>
          <w:szCs w:val="28"/>
          <w:lang w:val="en-US"/>
        </w:rPr>
        <w:instrText>ADDIN CSL_CITATION {"citationItems":[{"id":"ITEM-1","itemData":{"DOI":"10.1016/j.bpj.2018.01.002","ISSN":"15420086","PMID":"29490246","abstract":"Hydrodynamic properties are useful parameters for estimating the size and shape of proteins and nucleic acids in solution. The calculation of such properties from structural models informs on the solution properties of these molecules and complements corresponding structural studies. Here we report, to our knowledge, a new method to accurately predict the hydrodynamic properties of molecular structures. This method uses a convex hull model to estimate the hydrodynamic volume of the molecule and is orders of magnitude faster than common methods. It works well for both folded proteins and ensembles of conformationally heterogeneous proteins and for nucleic acids. Because of its simplicity and speed, the method should be useful for the modification of computer-generated, intrinsically disordered protein ensembles and ensembles of flexible, but folded, molecules in which rapid calculation of experimental parameters is needed. The convex hull method is implemented in a Python script called HullRad. The use of the method is facilitated by a web server and the code is freely available for batch applications.","author":[{"dropping-particle":"","family":"Fleming","given":"Patrick J.","non-dropping-particle":"","parse-names":false,"suffix":""},{"dropping-particle":"","family":"Fleming","given":"Karen G.","non-dropping-particle":"","parse-names":false,"suffix":""}],"container-title":"Biophysical Journal","id":"ITEM-1","issue":"4","issued":{"date-parts":[["2018"]]},"page":"856-869","publisher":"Biophysical Society","title":"HullRad: Fast Calculations of Folded and Disordered Protein and Nucleic Acid Hydrodynamic Properties","type":"article-journal","volume":"114"},"uris":["http://www.mendeley.com/documents/?uuid=589dd58f-3df3-485e-9e0c-43fe45f8964f"]},{"id":"ITEM-2","itemData":{"DOI":"10.1016/j.jsbmb.2019.105571","ISSN":"18791220","PMID":"31881311","abstract":"The retinoid X receptor (RXR) is a member of the nuclear receptor (NR) superfamily that occupies the central position among other NRs by forming both homodimers and heterodimers with other representatives of the family. RXR shares similar structural domains with other members of NRs. The major differences in the subtypes and isoforms of RXR are in the AB region. To date, there have been no data concerning the molecular properties of the AB region of hRXRγ (AB_hRXG). Here, we describe the biochemical and biophysical properties of the recombinant AB_hRXG. The results indicate that AB_hRXG shows the structural and functional characteristics of the pre-molten globule-like (PMG-like) group of intrinsically disordered proteins (IDPs) and also has a significant propensity for folding. We also present the first experimental evidence showing that the AB region of NRs promotes the formation of liquid–liquid phase separation (LLPS).","author":[{"dropping-particle":"","family":"Sołtys","given":"Katarzyna","non-dropping-particle":"","parse-names":false,"suffix":""},{"dropping-particle":"","family":"Ożyhar","given":"Andrzej","non-dropping-particle":"","parse-names":false,"suffix":""}],"container-title":"Journal of Steroid Biochemistry and Molecular Biology","id":"ITEM-2","issue":"November 2019","issued":{"date-parts":[["2020"]]},"title":"Ordered structure-forming properties of the intrinsically disordered AB region of hRXRγ and its ability to promote liquid-liquid phase separation","type":"article-journal","volume":"198"},"uris":["http://www.mendeley.com/documents/?uuid=eadaa6c8-598b-414d-99e0-bd0422f4663e"]},{"id":"ITEM-3","itemData":{"DOI":"10.1039/C6MB00512H","ISSN":"17422051","PMID":"27752679","abstract":"Proteins imparted with intrinsic disorder conduct a range of essential cellular functions. To better understand the folding and hydration properties of intrinsically disordered proteins (IDPs), we used osmotic stress to induce conformational changes in nuclear co-activator binding domain (NCBD) and activator for thyroid hormone and retinoid receptor (ACTR) separate from their mutual binding. Osmotic stress was applied by the addition of small and polymeric osmolytes, where we discovered that water contributions to NCBD folding always exceeded those for ACTR. Both NCBD and ACTR were found to gain α-helical structure with increasing osmotic stress, consistent with their folding upon NCBD/ACTR complex formation. Using small-angle neutron scattering (SANS), we further characterized NCBD structural changes with the osmolyte ethylene glycol. Here a large reduction in overall size initially occurred before substantial secondary structural change. By focusing on folding propensity, and linked hydration changes, we uncover new insights that may be important for how IDP folding contributes to binding.","author":[{"dropping-particle":"","family":"Mansouri","given":"Amanda L.","non-dropping-particle":"","parse-names":false,"suffix":""},{"dropping-particle":"","family":"Grese","given":"Laura N.","non-dropping-particle":"","parse-names":false,"suffix":""},{"dropping-particle":"","family":"Rowe","given":"Erica L.","non-dropping-particle":"","parse-names":false,"suffix":""},{"dropping-particle":"","family":"Pino","given":"James C.","non-dropping-particle":"","parse-names":false,"suffix":""},{"dropping-particle":"","family":"Chennubhotla","given":"S. Chakra","non-dropping-particle":"","parse-names":false,"suffix":""},{"dropping-particle":"","family":"Ramanathan","given":"Arvind","non-dropping-particle":"","parse-names":false,"suffix":""},{"dropping-particle":"","family":"O'Neill","given":"Hugh M.","non-dropping-particle":"","parse-names":false,"suffix":""},{"dropping-particle":"","family":"Berthelier","given":"Valerie","non-dropping-particle":"","parse-names":false,"suffix":""},{"dropping-particle":"","family":"Stanley","given":"Christopher B.","non-dropping-particle":"","parse-names":false,"suffix":""}],"container-title":"Molecular BioSystems","id":"ITEM-3","issue":"12","issued":{"date-parts":[["2016"]]},"page":"3695-3701","title":"Folding propensity of intrinsically disordered proteins by osmotic stress","type":"article-journal","volume":"12"},"uris":["http://www.mendeley.com/documents/?uuid=3eadc7ba-86fb-4174-a85f-c943db79225a"]},{"id":"ITEM-4","itemData":{"DOI":"10.1016/j.bpj.2018.01.011","ISSN":"15420086","PMID":"29539394","abstract":"Conformational malleability allows intrinsically disordered proteins (IDPs) to respond agilely to their environments, such as nonspecifically interacting with in vivo bystander macromolecules (or crowders). Previous studies have emphasized conformational compaction of IDPs due to steric repulsion by macromolecular crowders, but effects of soft attraction are largely unexplored. Here we studied the conformational ensembles of the IDP FlgM in both polymer and protein crowders by small-angle neutron scattering. As crowder concentrations increased, the mean radius of gyration of FlgM first decreased but then exhibited an uptick. Ensemble optimization modeling indicated that FlgM conformations under protein crowding segregated into two distinct populations, one compacted and one extended. Coarse-grained simulations showed that compacted conformers fit into an interstitial void and occasionally bind to a surrounding crowder, whereas extended conformers snake through interstitial crevices and bind multiple crowders simultaneously. Crowder-induced conformational segregation may facilitate various cellular functions of IDPs.","author":[{"dropping-particle":"","family":"Banks","given":"Anthony","non-dropping-particle":"","parse-names":false,"suffix":""},{"dropping-particle":"","family":"Qin","given":"Sanbo","non-dropping-particle":"","parse-names":false,"suffix":""},{"dropping-particle":"","family":"Weiss","given":"Kevin L.","non-dropping-particle":"","parse-names":false,"suffix":""},{"dropping-particle":"","family":"Stanley","given":"Christopher B.","non-dropping-particle":"","parse-names":false,"suffix":""},{"dropping-particle":"","family":"Zhou","given":"Huan Xiang","non-dropping-particle":"","parse-names":false,"suffix":""}],"container-title":"Biophysical Journal","id":"ITEM-4","issue":"5","issued":{"date-parts":[["2018"]]},"page":"1067-1079","publisher":"Biophysical Society","title":"Intrinsically Disordered Protein Exhibits Both Compaction and Expansion under Macromolecular Crowding","type":"article-journal","volume":"114"},"uris":["http://www.mendeley.com/documents/?uuid=e3c4a7b1-9f63-4764-ad73-401479ba5016"]},{"id":"ITEM-5","itemData":{"DOI":"10.1016/j.abb.2019.07.020","ISSN":"10960384","PMID":"31356778","abstract":"In this review, we detail the most common experimental approaches to assess and characterize protein intrinsic structural disorder, with the notable exception of NMR and EPR spectroscopy, two ideally suited approaches that will be described in depth in two other reviews within this special issue. We discuss the advantages, the limitations, as well as the caveats of the various methods. We also describe less common and more demanding approaches that enable achieving further insights into the conformational properties of IDPs. Finally, we present recent developments that have enabled assessment of structural disorder in living cells, and discuss the currently available methods to model IDPs as conformational ensembles.","author":[{"dropping-particle":"","family":"Schramm","given":"Antoine","non-dropping-particle":"","parse-names":false,"suffix":""},{"dropping-particle":"","family":"Bignon","given":"Christophe","non-dropping-particle":"","parse-names":false,"suffix":""},{"dropping-particle":"","family":"Brocca","given":"Stefania","non-dropping-particle":"","parse-names":false,"suffix":""},{"dropping-particle":"","family":"Grandori","given":"Rita","non-dropping-particle":"","parse-names":false,"suffix":""},{"dropping-particle":"","family":"Santambrogio","given":"Carlo","non-dropping-particle":"","parse-names":false,"suffix":""},{"dropping-particle":"","family":"Longhi","given":"Sonia","non-dropping-particle":"","parse-names":false,"suffix":""}],"container-title":"Archives of Biochemistry and Biophysics","id":"ITEM-5","issue":"July","issued":{"date-parts":[["2019"]]},"page":"108055","publisher":"Elsevier","title":"An arsenal of methods for the experimental characterization of intrinsically disordered proteins – How to choose and combine them?","type":"article-journal","volume":"676"},"uris":["http://www.mendeley.com/documents/?uuid=1404baf9-82f6-4a2b-acb5-c3248a199eb2"]}],"mendeley":{"formattedCitation":"&lt;sup&gt;1–5&lt;/sup&gt;","plainTextFormattedCitation":"1–5","previouslyFormattedCitation":"&lt;sup&gt;1–5&lt;/sup&gt;"},"properties":{"noteIndex":0},"schema":"https://github.com/citation-style-language/schema/raw/master/csl-citation.json"}</w:instrText>
      </w:r>
      <w:r w:rsidRPr="00A32DB9">
        <w:rPr>
          <w:rFonts w:ascii="Times New Roman" w:eastAsia="Calibri" w:hAnsi="Times New Roman" w:cs="Times New Roman"/>
          <w:bCs/>
          <w:sz w:val="28"/>
          <w:szCs w:val="28"/>
          <w:lang w:val="en-US"/>
        </w:rPr>
        <w:fldChar w:fldCharType="separate"/>
      </w:r>
      <w:r w:rsidRPr="00A32DB9">
        <w:rPr>
          <w:rFonts w:ascii="Times New Roman" w:eastAsia="Calibri" w:hAnsi="Times New Roman" w:cs="Times New Roman"/>
          <w:bCs/>
          <w:noProof/>
          <w:sz w:val="28"/>
          <w:szCs w:val="28"/>
          <w:vertAlign w:val="superscript"/>
          <w:lang w:val="en-US"/>
        </w:rPr>
        <w:t>1–5</w:t>
      </w:r>
      <w:r w:rsidRPr="00A32DB9">
        <w:rPr>
          <w:rFonts w:ascii="Times New Roman" w:eastAsia="Calibri" w:hAnsi="Times New Roman" w:cs="Times New Roman"/>
          <w:bCs/>
          <w:sz w:val="28"/>
          <w:szCs w:val="28"/>
          <w:lang w:val="en-US"/>
        </w:rPr>
        <w:fldChar w:fldCharType="end"/>
      </w:r>
      <w:proofErr w:type="gramStart"/>
      <w:r w:rsidRPr="00A32DB9">
        <w:rPr>
          <w:rFonts w:ascii="Times New Roman" w:eastAsia="Calibri" w:hAnsi="Times New Roman" w:cs="Times New Roman"/>
          <w:bCs/>
          <w:sz w:val="28"/>
          <w:szCs w:val="28"/>
          <w:lang w:val="en-US"/>
        </w:rPr>
        <w:t xml:space="preserve">;   average scattering density of Dsup </w:t>
      </w:r>
      <m:oMath>
        <m:acc>
          <m:accPr>
            <m:chr m:val="̅"/>
            <m:ctrlPr>
              <w:rPr>
                <w:rFonts w:ascii="Cambria Math" w:eastAsia="Calibri" w:hAnsi="Cambria Math" w:cs="Times New Roman"/>
                <w:bCs/>
                <w:i/>
                <w:sz w:val="28"/>
                <w:szCs w:val="28"/>
                <w:lang w:val="en-US"/>
              </w:rPr>
            </m:ctrlPr>
          </m:accPr>
          <m:e>
            <m:r>
              <w:rPr>
                <w:rFonts w:ascii="Cambria Math" w:eastAsia="Calibri" w:hAnsi="Cambria Math" w:cs="Times New Roman"/>
                <w:sz w:val="28"/>
                <w:szCs w:val="28"/>
                <w:lang w:val="en-US"/>
              </w:rPr>
              <m:t>ρ</m:t>
            </m:r>
          </m:e>
        </m:acc>
      </m:oMath>
      <w:r w:rsidRPr="00A32DB9">
        <w:rPr>
          <w:rFonts w:ascii="Times New Roman" w:eastAsia="Calibri" w:hAnsi="Times New Roman" w:cs="Times New Roman"/>
          <w:bCs/>
          <w:sz w:val="28"/>
          <w:szCs w:val="28"/>
          <w:lang w:val="en-US"/>
        </w:rPr>
        <w:t xml:space="preserve"> was calculated using the SLD calculator built in program SasFit </w:t>
      </w:r>
      <w:proofErr w:type="gramEnd"/>
      <w:r w:rsidRPr="00A32DB9">
        <w:rPr>
          <w:rFonts w:ascii="Times New Roman" w:eastAsia="Calibri" w:hAnsi="Times New Roman" w:cs="Times New Roman"/>
          <w:bCs/>
          <w:sz w:val="28"/>
          <w:szCs w:val="28"/>
          <w:lang w:val="en-US"/>
        </w:rPr>
        <w:fldChar w:fldCharType="begin" w:fldLock="1"/>
      </w:r>
      <w:r>
        <w:rPr>
          <w:rFonts w:ascii="Times New Roman" w:eastAsia="Calibri" w:hAnsi="Times New Roman" w:cs="Times New Roman"/>
          <w:bCs/>
          <w:sz w:val="28"/>
          <w:szCs w:val="28"/>
          <w:lang w:val="en-US"/>
        </w:rPr>
        <w:instrText>ADDIN CSL_CITATION {"citationItems":[{"id":"ITEM-1","itemData":{"DOI":"10.1107/S1600576722009037","ISSN":"16005767","abstract":"Small-angle scattering is an increasingly common method for characterizing particle ensembles in a wide variety of sample types and for diverse areas of application. SASfit has been one of the most comprehensive and flexible curve-fitting programs for decades, with many specialized tools for various fields. Here, a selection of enhancements and additions to the SASfit program are presented that may be of great benefit to interested and advanced users alike: (a) further development of the technical basis of the program, such as new numerical algorithms currently in use, a continuous integration practice for automated building and packaging of the software, and upgrades on the plug-in system for easier adoption by third-party developers; (b) a selection of new form factors for anisotropic scattering patterns and updates to existing form factors to account for multiple scattering effects; (c) a new type of a very flexible distribution called metalog [Keelin (2016). Decis. Anal. 13, 243-277], and regularization techniques such as the expectation-maximization method [Dempster et al. (1977). J. R. Stat. Soc. Ser. B (Methodological), 39, 1-22; Richardson (1972) J. Opt. Soc. Am. 62, 55; Lucy (1974). Astron. J. 79, 745; Lucy (1994). Astron. Astrophys. 289, 983-994], which is compared with fits of analytical size distributions via the non-linear least-squares method; and (d) new structure factors, especially for ordered nano- and meso-scaled material systems, as well as the Ornstein-Zernike solver for numerical determination of particle interactions and the resulting structure factor when no analytical solution is available, with the aim of incorporating its effects into the small-angle scattering intensity model used for fitting with SASfit.","author":[{"dropping-particle":"","family":"Kohlbrecher","given":"Joachim","non-dropping-particle":"","parse-names":false,"suffix":""},{"dropping-particle":"","family":"Breßler","given":"Ingo","non-dropping-particle":"","parse-names":false,"suffix":""},{"dropping-particle":"","family":"Barty","given":"A.","non-dropping-particle":"","parse-names":false,"suffix":""}],"container-title":"Journal of Applied Crystallography","id":"ITEM-1","issue":"6","issued":{"date-parts":[["2022","11"]]},"page":"1677-1688","publisher":"International Union of Crystallography","title":"Updates in SASfit for fitting analytical expressions and numerical models to small-angle scattering patterns","type":"article-journal","volume":"55"},"uris":["http://www.mendeley.com/documents/?uuid=e7f3b7d7-605a-4933-9151-d83644631ffa"]}],"mendeley":{"formattedCitation":"&lt;sup&gt;6&lt;/sup&gt;","plainTextFormattedCitation":"6","previouslyFormattedCitation":"&lt;sup&gt;6&lt;/sup&gt;"},"properties":{"noteIndex":0},"schema":"https://github.com/citation-style-language/schema/raw/master/csl-citation.json"}</w:instrText>
      </w:r>
      <w:r w:rsidRPr="00A32DB9">
        <w:rPr>
          <w:rFonts w:ascii="Times New Roman" w:eastAsia="Calibri" w:hAnsi="Times New Roman" w:cs="Times New Roman"/>
          <w:bCs/>
          <w:sz w:val="28"/>
          <w:szCs w:val="28"/>
          <w:lang w:val="en-US"/>
        </w:rPr>
        <w:fldChar w:fldCharType="separate"/>
      </w:r>
      <w:r w:rsidRPr="00A32DB9">
        <w:rPr>
          <w:rFonts w:ascii="Times New Roman" w:eastAsia="Calibri" w:hAnsi="Times New Roman" w:cs="Times New Roman"/>
          <w:bCs/>
          <w:noProof/>
          <w:sz w:val="28"/>
          <w:szCs w:val="28"/>
          <w:vertAlign w:val="superscript"/>
          <w:lang w:val="en-US"/>
        </w:rPr>
        <w:t>6</w:t>
      </w:r>
      <w:r w:rsidRPr="00A32DB9">
        <w:rPr>
          <w:rFonts w:ascii="Times New Roman" w:eastAsia="Calibri" w:hAnsi="Times New Roman" w:cs="Times New Roman"/>
          <w:bCs/>
          <w:sz w:val="28"/>
          <w:szCs w:val="28"/>
          <w:lang w:val="en-US"/>
        </w:rPr>
        <w:fldChar w:fldCharType="end"/>
      </w:r>
      <w:proofErr w:type="gramStart"/>
      <w:r w:rsidRPr="00A32DB9">
        <w:rPr>
          <w:rFonts w:ascii="Times New Roman" w:eastAsia="Calibri" w:hAnsi="Times New Roman" w:cs="Times New Roman"/>
          <w:bCs/>
          <w:sz w:val="28"/>
          <w:szCs w:val="28"/>
          <w:lang w:val="en-US"/>
        </w:rPr>
        <w:t xml:space="preserve"> (formula for Dsup C</w:t>
      </w:r>
      <w:r w:rsidRPr="00A32DB9">
        <w:rPr>
          <w:rFonts w:ascii="Times New Roman" w:eastAsia="Calibri" w:hAnsi="Times New Roman" w:cs="Times New Roman"/>
          <w:bCs/>
          <w:sz w:val="28"/>
          <w:szCs w:val="28"/>
          <w:vertAlign w:val="subscript"/>
          <w:lang w:val="en-US"/>
        </w:rPr>
        <w:t>1779</w:t>
      </w:r>
      <w:r w:rsidRPr="00A32DB9">
        <w:rPr>
          <w:rFonts w:ascii="Times New Roman" w:eastAsia="Calibri" w:hAnsi="Times New Roman" w:cs="Times New Roman"/>
          <w:bCs/>
          <w:sz w:val="28"/>
          <w:szCs w:val="28"/>
          <w:lang w:val="en-US"/>
        </w:rPr>
        <w:t>N</w:t>
      </w:r>
      <w:r w:rsidRPr="00A32DB9">
        <w:rPr>
          <w:rFonts w:ascii="Times New Roman" w:eastAsia="Calibri" w:hAnsi="Times New Roman" w:cs="Times New Roman"/>
          <w:bCs/>
          <w:sz w:val="28"/>
          <w:szCs w:val="28"/>
          <w:vertAlign w:val="subscript"/>
          <w:lang w:val="en-US"/>
        </w:rPr>
        <w:t>592</w:t>
      </w:r>
      <w:r w:rsidRPr="00A32DB9">
        <w:rPr>
          <w:rFonts w:ascii="Times New Roman" w:eastAsia="Calibri" w:hAnsi="Times New Roman" w:cs="Times New Roman"/>
          <w:bCs/>
          <w:sz w:val="28"/>
          <w:szCs w:val="28"/>
          <w:lang w:val="en-US"/>
        </w:rPr>
        <w:t>O</w:t>
      </w:r>
      <w:r w:rsidRPr="00A32DB9">
        <w:rPr>
          <w:rFonts w:ascii="Times New Roman" w:eastAsia="Calibri" w:hAnsi="Times New Roman" w:cs="Times New Roman"/>
          <w:bCs/>
          <w:sz w:val="28"/>
          <w:szCs w:val="28"/>
          <w:vertAlign w:val="subscript"/>
          <w:lang w:val="en-US"/>
        </w:rPr>
        <w:t>683</w:t>
      </w:r>
      <w:r w:rsidRPr="00A32DB9">
        <w:rPr>
          <w:rFonts w:ascii="Times New Roman" w:eastAsia="Calibri" w:hAnsi="Times New Roman" w:cs="Times New Roman"/>
          <w:bCs/>
          <w:sz w:val="28"/>
          <w:szCs w:val="28"/>
          <w:lang w:val="en-US"/>
        </w:rPr>
        <w:t>S</w:t>
      </w:r>
      <w:r w:rsidRPr="00A32DB9">
        <w:rPr>
          <w:rFonts w:ascii="Times New Roman" w:eastAsia="Calibri" w:hAnsi="Times New Roman" w:cs="Times New Roman"/>
          <w:bCs/>
          <w:sz w:val="28"/>
          <w:szCs w:val="28"/>
          <w:vertAlign w:val="subscript"/>
          <w:lang w:val="en-US"/>
        </w:rPr>
        <w:t>3</w:t>
      </w:r>
      <w:r w:rsidRPr="00A32DB9">
        <w:rPr>
          <w:rFonts w:ascii="Times New Roman" w:eastAsia="Calibri" w:hAnsi="Times New Roman" w:cs="Times New Roman"/>
          <w:bCs/>
          <w:sz w:val="28"/>
          <w:szCs w:val="28"/>
          <w:lang w:val="en-US"/>
        </w:rPr>
        <w:t>H</w:t>
      </w:r>
      <w:r w:rsidRPr="00A32DB9">
        <w:rPr>
          <w:rFonts w:ascii="Times New Roman" w:eastAsia="Calibri" w:hAnsi="Times New Roman" w:cs="Times New Roman"/>
          <w:bCs/>
          <w:sz w:val="28"/>
          <w:szCs w:val="28"/>
          <w:vertAlign w:val="subscript"/>
          <w:lang w:val="en-US"/>
        </w:rPr>
        <w:t>2964</w:t>
      </w:r>
      <w:r w:rsidRPr="00A32DB9">
        <w:rPr>
          <w:rFonts w:ascii="Times New Roman" w:eastAsia="Calibri" w:hAnsi="Times New Roman" w:cs="Times New Roman"/>
          <w:bCs/>
          <w:sz w:val="28"/>
          <w:szCs w:val="28"/>
          <w:lang w:val="en-US"/>
        </w:rPr>
        <w:t xml:space="preserve"> and energy of X-ray 8 </w:t>
      </w:r>
      <w:proofErr w:type="spellStart"/>
      <w:r w:rsidRPr="00A32DB9">
        <w:rPr>
          <w:rFonts w:ascii="Times New Roman" w:eastAsia="Calibri" w:hAnsi="Times New Roman" w:cs="Times New Roman"/>
          <w:bCs/>
          <w:sz w:val="28"/>
          <w:szCs w:val="28"/>
          <w:lang w:val="en-US"/>
        </w:rPr>
        <w:t>keV</w:t>
      </w:r>
      <w:proofErr w:type="spellEnd"/>
      <w:r w:rsidRPr="00A32DB9">
        <w:rPr>
          <w:rFonts w:ascii="Times New Roman" w:eastAsia="Calibri" w:hAnsi="Times New Roman" w:cs="Times New Roman"/>
          <w:bCs/>
          <w:sz w:val="28"/>
          <w:szCs w:val="28"/>
          <w:lang w:val="en-US"/>
        </w:rPr>
        <w:t xml:space="preserve">); average scattering density of solvent </w:t>
      </w:r>
      <w:proofErr w:type="spellStart"/>
      <w:r w:rsidRPr="00A32DB9">
        <w:rPr>
          <w:rFonts w:ascii="Times New Roman" w:eastAsia="Calibri" w:hAnsi="Times New Roman" w:cs="Times New Roman"/>
          <w:bCs/>
          <w:sz w:val="28"/>
          <w:szCs w:val="28"/>
          <w:lang w:val="en-US"/>
        </w:rPr>
        <w:t>ρ</w:t>
      </w:r>
      <w:r w:rsidRPr="00A32DB9">
        <w:rPr>
          <w:rFonts w:ascii="Times New Roman" w:eastAsia="Calibri" w:hAnsi="Times New Roman" w:cs="Times New Roman"/>
          <w:bCs/>
          <w:sz w:val="28"/>
          <w:szCs w:val="28"/>
          <w:vertAlign w:val="subscript"/>
          <w:lang w:val="en-US"/>
        </w:rPr>
        <w:t>s</w:t>
      </w:r>
      <w:proofErr w:type="spellEnd"/>
      <w:r w:rsidRPr="00A32DB9">
        <w:rPr>
          <w:rFonts w:ascii="Times New Roman" w:eastAsia="Calibri" w:hAnsi="Times New Roman" w:cs="Times New Roman"/>
          <w:bCs/>
          <w:sz w:val="28"/>
          <w:szCs w:val="28"/>
          <w:vertAlign w:val="subscript"/>
          <w:lang w:val="en-US"/>
        </w:rPr>
        <w:t xml:space="preserve"> </w:t>
      </w:r>
      <w:r w:rsidRPr="00A32DB9">
        <w:rPr>
          <w:rFonts w:ascii="Times New Roman" w:eastAsia="Calibri" w:hAnsi="Times New Roman" w:cs="Times New Roman"/>
          <w:bCs/>
          <w:sz w:val="28"/>
          <w:szCs w:val="28"/>
          <w:lang w:val="en-US"/>
        </w:rPr>
        <w:t xml:space="preserve">calculated according to equation (3); mass density of the solvent </w:t>
      </w:r>
      <w:proofErr w:type="spellStart"/>
      <w:r w:rsidRPr="00A32DB9">
        <w:rPr>
          <w:rFonts w:ascii="Times New Roman" w:eastAsia="Calibri" w:hAnsi="Times New Roman" w:cs="Times New Roman"/>
          <w:bCs/>
          <w:sz w:val="28"/>
          <w:szCs w:val="28"/>
          <w:lang w:val="en-US"/>
        </w:rPr>
        <w:t>ρ</w:t>
      </w:r>
      <w:r w:rsidRPr="00A32DB9">
        <w:rPr>
          <w:rFonts w:ascii="Times New Roman" w:eastAsia="Calibri" w:hAnsi="Times New Roman" w:cs="Times New Roman"/>
          <w:bCs/>
          <w:sz w:val="28"/>
          <w:szCs w:val="28"/>
          <w:vertAlign w:val="subscript"/>
          <w:lang w:val="en-US"/>
        </w:rPr>
        <w:t>m</w:t>
      </w:r>
      <w:proofErr w:type="spellEnd"/>
      <w:r w:rsidRPr="00A32DB9">
        <w:rPr>
          <w:rFonts w:ascii="Times New Roman" w:eastAsia="Calibri" w:hAnsi="Times New Roman" w:cs="Times New Roman"/>
          <w:bCs/>
          <w:sz w:val="28"/>
          <w:szCs w:val="28"/>
          <w:lang w:val="en-US"/>
        </w:rPr>
        <w:t xml:space="preserve"> was measured by densitometer Anton </w:t>
      </w:r>
      <w:proofErr w:type="spellStart"/>
      <w:r w:rsidRPr="00A32DB9">
        <w:rPr>
          <w:rFonts w:ascii="Times New Roman" w:eastAsia="Calibri" w:hAnsi="Times New Roman" w:cs="Times New Roman"/>
          <w:bCs/>
          <w:sz w:val="28"/>
          <w:szCs w:val="28"/>
          <w:lang w:val="en-US"/>
        </w:rPr>
        <w:t>Paar</w:t>
      </w:r>
      <w:proofErr w:type="spellEnd"/>
      <w:r w:rsidRPr="00A32DB9">
        <w:rPr>
          <w:rFonts w:ascii="Times New Roman" w:eastAsia="Calibri" w:hAnsi="Times New Roman" w:cs="Times New Roman"/>
          <w:bCs/>
          <w:sz w:val="28"/>
          <w:szCs w:val="28"/>
          <w:lang w:val="en-US"/>
        </w:rPr>
        <w:t xml:space="preserve"> 5000M (see section Methods).</w:t>
      </w:r>
      <w:proofErr w:type="gramEnd"/>
    </w:p>
    <w:p w:rsidR="00A32DB9" w:rsidRPr="00A32DB9" w:rsidRDefault="00A32DB9" w:rsidP="00A32DB9">
      <w:pPr>
        <w:spacing w:after="200" w:line="360" w:lineRule="auto"/>
        <w:jc w:val="both"/>
        <w:rPr>
          <w:rFonts w:ascii="Times New Roman" w:eastAsia="Calibri" w:hAnsi="Times New Roman" w:cs="Times New Roman"/>
          <w:bCs/>
          <w:sz w:val="28"/>
          <w:szCs w:val="28"/>
          <w:lang w:val="en-US"/>
        </w:rPr>
      </w:pPr>
      <w:r w:rsidRPr="00A32DB9">
        <w:rPr>
          <w:rFonts w:ascii="Times New Roman" w:eastAsia="Calibri" w:hAnsi="Times New Roman" w:cs="Times New Roman"/>
          <w:sz w:val="28"/>
          <w:szCs w:val="28"/>
          <w:vertAlign w:val="superscript"/>
          <w:lang w:val="en-PH"/>
        </w:rPr>
        <w:t>#</w:t>
      </w:r>
      <w:r w:rsidRPr="00A32DB9">
        <w:rPr>
          <w:rFonts w:ascii="Times New Roman" w:eastAsia="Calibri" w:hAnsi="Times New Roman" w:cs="Times New Roman"/>
          <w:sz w:val="28"/>
          <w:szCs w:val="28"/>
          <w:lang w:val="en-PH"/>
        </w:rPr>
        <w:t xml:space="preserve"> The error value for the molecular weight was taken of 10% as estimated in work </w:t>
      </w:r>
      <w:r w:rsidRPr="00A32DB9">
        <w:rPr>
          <w:rFonts w:ascii="Times New Roman" w:eastAsia="Calibri" w:hAnsi="Times New Roman" w:cs="Times New Roman"/>
          <w:sz w:val="28"/>
          <w:szCs w:val="28"/>
          <w:lang w:val="en-PH"/>
        </w:rPr>
        <w:fldChar w:fldCharType="begin" w:fldLock="1"/>
      </w:r>
      <w:r>
        <w:rPr>
          <w:rFonts w:ascii="Times New Roman" w:eastAsia="Calibri" w:hAnsi="Times New Roman" w:cs="Times New Roman"/>
          <w:sz w:val="28"/>
          <w:szCs w:val="28"/>
          <w:lang w:val="en-PH"/>
        </w:rPr>
        <w:instrText>ADDIN CSL_CITATION {"citationItems":[{"id":"ITEM-1","itemData":{"DOI":"10.1107/S002188980700252X","ISSN":"00218898","abstract":"One of the most important overall parameters, which can be derived from small-angle X-ray scattering (SAXS) experiments on macromolecular solutions is the molecular mass (MM) of the solute. In particular, for a monodisperse protein solution, MM of the solute is calculated from the extrapolated scattering intensity at zero angle I(0). Assessing MM by SAXS provides valuable information about the oligomeric state and absence of unspecific aggregation in solution. The value of MM can either be estimated by comparison with a protein standard with a known MM or by determining the absolute scattering intensity using, e.g., water scattering. In both cases, knowledge about the solute concentration and about the partial specific volume of the protein is required. By measuring 13 well characterized globular proteins with MMs ranging from 13.7 to 669 kDa we analyze the sources of possible systematic deviations and assess the accuracy of MM determination using SAXS. The data indicate that all these proteins have approximately the same 'effective' value of the partial specific volume of about 0.7425 cm3 g-1. It is shown that both inter-protein and water calibration can be used for molecular mass determination by SAXS and in most cases the errors do not exceed 10%. © International Union of Crystallography 2007.","author":[{"dropping-particle":"","family":"Mylonas","given":"Efstratios","non-dropping-particle":"","parse-names":false,"suffix":""},{"dropping-particle":"","family":"Svergun","given":"Dmitri I.","non-dropping-particle":"","parse-names":false,"suffix":""}],"container-title":"Journal of Applied Crystallography","id":"ITEM-1","issue":"SUPPL. 1","issued":{"date-parts":[["2007"]]},"page":"245-249","publisher":"International Union of Crystallography","title":"Accuracy of molecular mass determination of proteins in solution by small-angle X-ray scattering","type":"article-journal","volume":"40"},"uris":["http://www.mendeley.com/documents/?uuid=a9dbe767-f488-4918-89a1-9d65c843e8ea"]}],"mendeley":{"formattedCitation":"&lt;sup&gt;7&lt;/sup&gt;","plainTextFormattedCitation":"7","previouslyFormattedCitation":"&lt;sup&gt;7&lt;/sup&gt;"},"properties":{"noteIndex":0},"schema":"https://github.com/citation-style-language/schema/raw/master/csl-citation.json"}</w:instrText>
      </w:r>
      <w:r w:rsidRPr="00A32DB9">
        <w:rPr>
          <w:rFonts w:ascii="Times New Roman" w:eastAsia="Calibri" w:hAnsi="Times New Roman" w:cs="Times New Roman"/>
          <w:sz w:val="28"/>
          <w:szCs w:val="28"/>
          <w:lang w:val="en-PH"/>
        </w:rPr>
        <w:fldChar w:fldCharType="separate"/>
      </w:r>
      <w:r w:rsidRPr="00A32DB9">
        <w:rPr>
          <w:rFonts w:ascii="Times New Roman" w:eastAsia="Calibri" w:hAnsi="Times New Roman" w:cs="Times New Roman"/>
          <w:noProof/>
          <w:sz w:val="28"/>
          <w:szCs w:val="28"/>
          <w:vertAlign w:val="superscript"/>
          <w:lang w:val="en-PH"/>
        </w:rPr>
        <w:t>7</w:t>
      </w:r>
      <w:r w:rsidRPr="00A32DB9">
        <w:rPr>
          <w:rFonts w:ascii="Times New Roman" w:eastAsia="Calibri" w:hAnsi="Times New Roman" w:cs="Times New Roman"/>
          <w:sz w:val="28"/>
          <w:szCs w:val="28"/>
          <w:lang w:val="en-PH"/>
        </w:rPr>
        <w:fldChar w:fldCharType="end"/>
      </w:r>
      <w:r w:rsidRPr="00A32DB9">
        <w:rPr>
          <w:rFonts w:ascii="Times New Roman" w:eastAsia="Calibri" w:hAnsi="Times New Roman" w:cs="Times New Roman"/>
          <w:sz w:val="28"/>
          <w:szCs w:val="28"/>
          <w:lang w:val="en-PH"/>
        </w:rPr>
        <w:t>.</w:t>
      </w:r>
    </w:p>
    <w:tbl>
      <w:tblPr>
        <w:tblStyle w:val="a3"/>
        <w:tblW w:w="0" w:type="auto"/>
        <w:jc w:val="center"/>
        <w:tblLook w:val="04A0" w:firstRow="1" w:lastRow="0" w:firstColumn="1" w:lastColumn="0" w:noHBand="0" w:noVBand="1"/>
      </w:tblPr>
      <w:tblGrid>
        <w:gridCol w:w="2632"/>
        <w:gridCol w:w="1511"/>
        <w:gridCol w:w="1837"/>
        <w:gridCol w:w="1528"/>
        <w:gridCol w:w="1837"/>
      </w:tblGrid>
      <w:tr w:rsidR="00A32DB9" w:rsidRPr="00A32DB9" w:rsidTr="00D55C65">
        <w:trPr>
          <w:trHeight w:val="1882"/>
          <w:jc w:val="center"/>
        </w:trPr>
        <w:tc>
          <w:tcPr>
            <w:tcW w:w="2645" w:type="dxa"/>
            <w:tcBorders>
              <w:tl2br w:val="single" w:sz="4" w:space="0" w:color="auto"/>
            </w:tcBorders>
          </w:tcPr>
          <w:p w:rsidR="00A32DB9" w:rsidRPr="00A32DB9" w:rsidRDefault="00A32DB9" w:rsidP="00A32DB9">
            <w:pPr>
              <w:keepNext/>
              <w:keepLines/>
              <w:spacing w:before="480" w:after="200" w:line="360" w:lineRule="auto"/>
              <w:outlineLvl w:val="0"/>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 xml:space="preserve">             Sample</w:t>
            </w:r>
          </w:p>
          <w:p w:rsidR="00A32DB9" w:rsidRPr="00A32DB9" w:rsidRDefault="00A32DB9" w:rsidP="00A32DB9">
            <w:pPr>
              <w:spacing w:after="200" w:line="360" w:lineRule="auto"/>
              <w:rPr>
                <w:rFonts w:ascii="Times New Roman" w:eastAsia="Calibri" w:hAnsi="Times New Roman" w:cs="Times New Roman"/>
                <w:b/>
                <w:bCs/>
                <w:sz w:val="24"/>
                <w:szCs w:val="24"/>
                <w:lang w:val="en-US"/>
              </w:rPr>
            </w:pPr>
          </w:p>
          <w:p w:rsidR="00A32DB9" w:rsidRPr="00A32DB9" w:rsidRDefault="00A32DB9" w:rsidP="00A32DB9">
            <w:pPr>
              <w:spacing w:after="200" w:line="360" w:lineRule="auto"/>
              <w:rPr>
                <w:rFonts w:ascii="Times New Roman" w:eastAsia="Calibri" w:hAnsi="Times New Roman" w:cs="Times New Roman"/>
                <w:b/>
                <w:bCs/>
                <w:sz w:val="24"/>
                <w:szCs w:val="24"/>
                <w:lang w:val="en-US"/>
              </w:rPr>
            </w:pPr>
          </w:p>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 xml:space="preserve">        Parameter </w:t>
            </w:r>
          </w:p>
        </w:tc>
        <w:tc>
          <w:tcPr>
            <w:tcW w:w="1516" w:type="dxa"/>
          </w:tcPr>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Sample 1</w:t>
            </w:r>
          </w:p>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Dsup in PBS</w:t>
            </w:r>
          </w:p>
        </w:tc>
        <w:tc>
          <w:tcPr>
            <w:tcW w:w="1847" w:type="dxa"/>
          </w:tcPr>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Sample 2</w:t>
            </w:r>
          </w:p>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Dsup in PBS</w:t>
            </w:r>
          </w:p>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p>
        </w:tc>
        <w:tc>
          <w:tcPr>
            <w:tcW w:w="1534" w:type="dxa"/>
          </w:tcPr>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Sample 3</w:t>
            </w:r>
          </w:p>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Dsup in H</w:t>
            </w:r>
            <w:r w:rsidRPr="00A32DB9">
              <w:rPr>
                <w:rFonts w:ascii="Times New Roman" w:eastAsia="Calibri" w:hAnsi="Times New Roman" w:cs="Times New Roman"/>
                <w:b/>
                <w:bCs/>
                <w:sz w:val="24"/>
                <w:szCs w:val="24"/>
                <w:vertAlign w:val="subscript"/>
                <w:lang w:val="en-US"/>
              </w:rPr>
              <w:t>2</w:t>
            </w:r>
            <w:r w:rsidRPr="00A32DB9">
              <w:rPr>
                <w:rFonts w:ascii="Times New Roman" w:eastAsia="Calibri" w:hAnsi="Times New Roman" w:cs="Times New Roman"/>
                <w:b/>
                <w:bCs/>
                <w:sz w:val="24"/>
                <w:szCs w:val="24"/>
                <w:lang w:val="en-US"/>
              </w:rPr>
              <w:t>O</w:t>
            </w:r>
          </w:p>
        </w:tc>
        <w:tc>
          <w:tcPr>
            <w:tcW w:w="1847" w:type="dxa"/>
          </w:tcPr>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Sample 4</w:t>
            </w:r>
          </w:p>
          <w:p w:rsidR="00A32DB9" w:rsidRPr="00A32DB9" w:rsidRDefault="00A32DB9" w:rsidP="00A32DB9">
            <w:pPr>
              <w:spacing w:after="200" w:line="360" w:lineRule="auto"/>
              <w:jc w:val="center"/>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Dsup in H</w:t>
            </w:r>
            <w:r w:rsidRPr="00A32DB9">
              <w:rPr>
                <w:rFonts w:ascii="Times New Roman" w:eastAsia="Calibri" w:hAnsi="Times New Roman" w:cs="Times New Roman"/>
                <w:b/>
                <w:bCs/>
                <w:sz w:val="24"/>
                <w:szCs w:val="24"/>
                <w:vertAlign w:val="subscript"/>
                <w:lang w:val="en-US"/>
              </w:rPr>
              <w:t>2</w:t>
            </w:r>
            <w:r w:rsidRPr="00A32DB9">
              <w:rPr>
                <w:rFonts w:ascii="Times New Roman" w:eastAsia="Calibri" w:hAnsi="Times New Roman" w:cs="Times New Roman"/>
                <w:b/>
                <w:bCs/>
                <w:sz w:val="24"/>
                <w:szCs w:val="24"/>
                <w:lang w:val="en-US"/>
              </w:rPr>
              <w:t xml:space="preserve">O </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Protein concentration c, mg/ml</w:t>
            </w:r>
          </w:p>
        </w:tc>
        <w:tc>
          <w:tcPr>
            <w:tcW w:w="1516"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1.76</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rPr>
              <w:t>2</w:t>
            </w:r>
            <w:r w:rsidRPr="00A32DB9">
              <w:rPr>
                <w:rFonts w:ascii="Times New Roman" w:eastAsia="Calibri" w:hAnsi="Times New Roman" w:cs="Times New Roman"/>
                <w:sz w:val="24"/>
                <w:szCs w:val="24"/>
                <w:lang w:val="en-US"/>
              </w:rPr>
              <w:t>.16</w:t>
            </w:r>
          </w:p>
        </w:tc>
        <w:tc>
          <w:tcPr>
            <w:tcW w:w="1534"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3.85</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1.8</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I</w:t>
            </w:r>
            <w:r w:rsidRPr="00A32DB9">
              <w:rPr>
                <w:rFonts w:ascii="Times New Roman" w:eastAsia="Calibri" w:hAnsi="Times New Roman" w:cs="Times New Roman"/>
                <w:b/>
                <w:bCs/>
                <w:sz w:val="24"/>
                <w:szCs w:val="24"/>
                <w:vertAlign w:val="subscript"/>
                <w:lang w:val="en-US"/>
              </w:rPr>
              <w:t>0</w:t>
            </w:r>
            <w:r w:rsidRPr="00A32DB9">
              <w:rPr>
                <w:rFonts w:ascii="Times New Roman" w:eastAsia="Calibri" w:hAnsi="Times New Roman" w:cs="Times New Roman"/>
                <w:b/>
                <w:bCs/>
                <w:sz w:val="24"/>
                <w:szCs w:val="24"/>
                <w:lang w:val="en-US"/>
              </w:rPr>
              <w:t>, cm</w:t>
            </w:r>
            <w:r w:rsidRPr="00A32DB9">
              <w:rPr>
                <w:rFonts w:ascii="Times New Roman" w:eastAsia="Calibri" w:hAnsi="Times New Roman" w:cs="Times New Roman"/>
                <w:b/>
                <w:bCs/>
                <w:sz w:val="24"/>
                <w:szCs w:val="24"/>
                <w:vertAlign w:val="superscript"/>
                <w:lang w:val="en-US"/>
              </w:rPr>
              <w:t>-1</w:t>
            </w:r>
          </w:p>
          <w:p w:rsidR="00A32DB9" w:rsidRPr="00A32DB9" w:rsidRDefault="00A32DB9" w:rsidP="00A32DB9">
            <w:pPr>
              <w:spacing w:after="200" w:line="360" w:lineRule="auto"/>
              <w:rPr>
                <w:rFonts w:ascii="Times New Roman" w:eastAsia="Calibri" w:hAnsi="Times New Roman" w:cs="Times New Roman"/>
                <w:b/>
                <w:bCs/>
                <w:sz w:val="24"/>
                <w:szCs w:val="24"/>
                <w:highlight w:val="yellow"/>
                <w:lang w:val="en-US"/>
              </w:rPr>
            </w:pPr>
            <w:r w:rsidRPr="00A32DB9">
              <w:rPr>
                <w:rFonts w:ascii="Times New Roman" w:eastAsia="Calibri" w:hAnsi="Times New Roman" w:cs="Times New Roman"/>
                <w:b/>
                <w:bCs/>
                <w:sz w:val="24"/>
                <w:szCs w:val="24"/>
                <w:lang w:val="en-US"/>
              </w:rPr>
              <w:t>(from distance distribution function)</w:t>
            </w:r>
          </w:p>
        </w:tc>
        <w:tc>
          <w:tcPr>
            <w:tcW w:w="1516"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rPr>
              <w:t>0</w:t>
            </w:r>
            <w:r w:rsidRPr="00A32DB9">
              <w:rPr>
                <w:rFonts w:ascii="Times New Roman" w:eastAsia="Calibri" w:hAnsi="Times New Roman" w:cs="Times New Roman"/>
                <w:sz w:val="24"/>
                <w:szCs w:val="24"/>
                <w:lang w:val="en-US"/>
              </w:rPr>
              <w:t>.0</w:t>
            </w:r>
            <w:r w:rsidRPr="00A32DB9">
              <w:rPr>
                <w:rFonts w:ascii="Times New Roman" w:eastAsia="Calibri" w:hAnsi="Times New Roman" w:cs="Times New Roman"/>
                <w:sz w:val="24"/>
                <w:szCs w:val="24"/>
              </w:rPr>
              <w:t>86</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0.1</w:t>
            </w:r>
            <w:r w:rsidRPr="00A32DB9">
              <w:rPr>
                <w:rFonts w:ascii="Times New Roman" w:eastAsia="Calibri" w:hAnsi="Times New Roman" w:cs="Times New Roman"/>
                <w:sz w:val="24"/>
                <w:szCs w:val="24"/>
              </w:rPr>
              <w:t>11</w:t>
            </w:r>
          </w:p>
        </w:tc>
        <w:tc>
          <w:tcPr>
            <w:tcW w:w="1534"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0.1</w:t>
            </w:r>
            <w:r w:rsidRPr="00A32DB9">
              <w:rPr>
                <w:rFonts w:ascii="Times New Roman" w:eastAsia="Calibri" w:hAnsi="Times New Roman" w:cs="Times New Roman"/>
                <w:sz w:val="24"/>
                <w:szCs w:val="24"/>
              </w:rPr>
              <w:t>52</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0.0</w:t>
            </w:r>
            <w:r w:rsidRPr="00A32DB9">
              <w:rPr>
                <w:rFonts w:ascii="Times New Roman" w:eastAsia="Calibri" w:hAnsi="Times New Roman" w:cs="Times New Roman"/>
                <w:sz w:val="24"/>
                <w:szCs w:val="24"/>
              </w:rPr>
              <w:t>65</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vertAlign w:val="superscript"/>
                <w:lang w:val="en-US"/>
              </w:rPr>
            </w:pPr>
            <w:r w:rsidRPr="00A32DB9">
              <w:rPr>
                <w:rFonts w:ascii="Times New Roman" w:eastAsia="Calibri" w:hAnsi="Times New Roman" w:cs="Times New Roman"/>
                <w:b/>
                <w:bCs/>
                <w:sz w:val="24"/>
                <w:szCs w:val="24"/>
                <w:lang w:val="en-US"/>
              </w:rPr>
              <w:t>Specific partial volume of Dsup η, cm</w:t>
            </w:r>
            <w:r w:rsidRPr="00A32DB9">
              <w:rPr>
                <w:rFonts w:ascii="Times New Roman" w:eastAsia="Calibri" w:hAnsi="Times New Roman" w:cs="Times New Roman"/>
                <w:b/>
                <w:bCs/>
                <w:sz w:val="24"/>
                <w:szCs w:val="24"/>
                <w:vertAlign w:val="superscript"/>
                <w:lang w:val="en-US"/>
              </w:rPr>
              <w:t>3</w:t>
            </w:r>
            <w:r w:rsidRPr="00A32DB9">
              <w:rPr>
                <w:rFonts w:ascii="Times New Roman" w:eastAsia="Calibri" w:hAnsi="Times New Roman" w:cs="Times New Roman"/>
                <w:b/>
                <w:bCs/>
                <w:sz w:val="24"/>
                <w:szCs w:val="24"/>
                <w:lang w:val="en-US"/>
              </w:rPr>
              <w:t xml:space="preserve"> /g</w:t>
            </w:r>
          </w:p>
        </w:tc>
        <w:tc>
          <w:tcPr>
            <w:tcW w:w="6744" w:type="dxa"/>
            <w:gridSpan w:val="4"/>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0.721</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 xml:space="preserve">Average scattering density of Dsup </w:t>
            </w:r>
            <m:oMath>
              <m:acc>
                <m:accPr>
                  <m:chr m:val="̅"/>
                  <m:ctrlPr>
                    <w:rPr>
                      <w:rFonts w:ascii="Cambria Math" w:eastAsia="Calibri" w:hAnsi="Cambria Math" w:cs="Times New Roman"/>
                      <w:b/>
                      <w:bCs/>
                      <w:i/>
                      <w:sz w:val="24"/>
                      <w:szCs w:val="24"/>
                      <w:lang w:val="en-US"/>
                    </w:rPr>
                  </m:ctrlPr>
                </m:accPr>
                <m:e>
                  <m:r>
                    <m:rPr>
                      <m:sty m:val="bi"/>
                    </m:rPr>
                    <w:rPr>
                      <w:rFonts w:ascii="Cambria Math" w:eastAsia="Calibri" w:hAnsi="Cambria Math" w:cs="Times New Roman"/>
                      <w:sz w:val="24"/>
                      <w:szCs w:val="24"/>
                      <w:lang w:val="en-US"/>
                    </w:rPr>
                    <m:t>ρ</m:t>
                  </m:r>
                </m:e>
              </m:acc>
            </m:oMath>
            <w:r w:rsidRPr="00A32DB9">
              <w:rPr>
                <w:rFonts w:ascii="Times New Roman" w:eastAsia="Calibri" w:hAnsi="Times New Roman" w:cs="Times New Roman"/>
                <w:b/>
                <w:bCs/>
                <w:sz w:val="24"/>
                <w:szCs w:val="24"/>
                <w:lang w:val="en-US"/>
              </w:rPr>
              <w:t>, 10</w:t>
            </w:r>
            <w:r w:rsidRPr="00A32DB9">
              <w:rPr>
                <w:rFonts w:ascii="Times New Roman" w:eastAsia="Calibri" w:hAnsi="Times New Roman" w:cs="Times New Roman"/>
                <w:b/>
                <w:bCs/>
                <w:sz w:val="24"/>
                <w:szCs w:val="24"/>
                <w:vertAlign w:val="superscript"/>
                <w:lang w:val="en-US"/>
              </w:rPr>
              <w:t>10</w:t>
            </w:r>
            <w:r w:rsidRPr="00A32DB9">
              <w:rPr>
                <w:rFonts w:ascii="Times New Roman" w:eastAsia="Calibri" w:hAnsi="Times New Roman" w:cs="Times New Roman"/>
                <w:b/>
                <w:bCs/>
                <w:sz w:val="24"/>
                <w:szCs w:val="24"/>
                <w:lang w:val="en-US"/>
              </w:rPr>
              <w:t xml:space="preserve"> cm</w:t>
            </w:r>
            <w:r w:rsidRPr="00A32DB9">
              <w:rPr>
                <w:rFonts w:ascii="Times New Roman" w:eastAsia="Calibri" w:hAnsi="Times New Roman" w:cs="Times New Roman"/>
                <w:b/>
                <w:bCs/>
                <w:sz w:val="24"/>
                <w:szCs w:val="24"/>
                <w:vertAlign w:val="superscript"/>
                <w:lang w:val="en-US"/>
              </w:rPr>
              <w:t>-2</w:t>
            </w:r>
          </w:p>
        </w:tc>
        <w:tc>
          <w:tcPr>
            <w:tcW w:w="6744" w:type="dxa"/>
            <w:gridSpan w:val="4"/>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12.60</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lastRenderedPageBreak/>
              <w:t xml:space="preserve">Average scattering density of solvent </w:t>
            </w:r>
            <w:proofErr w:type="spellStart"/>
            <w:r w:rsidRPr="00A32DB9">
              <w:rPr>
                <w:rFonts w:ascii="Times New Roman" w:eastAsia="Calibri" w:hAnsi="Times New Roman" w:cs="Times New Roman"/>
                <w:b/>
                <w:bCs/>
                <w:sz w:val="24"/>
                <w:szCs w:val="24"/>
                <w:lang w:val="en-US"/>
              </w:rPr>
              <w:t>ρ</w:t>
            </w:r>
            <w:r w:rsidRPr="00A32DB9">
              <w:rPr>
                <w:rFonts w:ascii="Times New Roman" w:eastAsia="Calibri" w:hAnsi="Times New Roman" w:cs="Times New Roman"/>
                <w:b/>
                <w:bCs/>
                <w:sz w:val="24"/>
                <w:szCs w:val="24"/>
                <w:vertAlign w:val="subscript"/>
                <w:lang w:val="en-US"/>
              </w:rPr>
              <w:t>s</w:t>
            </w:r>
            <w:proofErr w:type="spellEnd"/>
            <w:r w:rsidRPr="00A32DB9">
              <w:rPr>
                <w:rFonts w:ascii="Times New Roman" w:eastAsia="Calibri" w:hAnsi="Times New Roman" w:cs="Times New Roman"/>
                <w:b/>
                <w:bCs/>
                <w:sz w:val="24"/>
                <w:szCs w:val="24"/>
                <w:lang w:val="en-US"/>
              </w:rPr>
              <w:t>, 10</w:t>
            </w:r>
            <w:r w:rsidRPr="00A32DB9">
              <w:rPr>
                <w:rFonts w:ascii="Times New Roman" w:eastAsia="Calibri" w:hAnsi="Times New Roman" w:cs="Times New Roman"/>
                <w:b/>
                <w:bCs/>
                <w:sz w:val="24"/>
                <w:szCs w:val="24"/>
                <w:vertAlign w:val="superscript"/>
                <w:lang w:val="en-US"/>
              </w:rPr>
              <w:t>10</w:t>
            </w:r>
            <w:r w:rsidRPr="00A32DB9">
              <w:rPr>
                <w:rFonts w:ascii="Times New Roman" w:eastAsia="Calibri" w:hAnsi="Times New Roman" w:cs="Times New Roman"/>
                <w:b/>
                <w:bCs/>
                <w:sz w:val="24"/>
                <w:szCs w:val="24"/>
                <w:lang w:val="en-US"/>
              </w:rPr>
              <w:t xml:space="preserve"> cm</w:t>
            </w:r>
            <w:r w:rsidRPr="00A32DB9">
              <w:rPr>
                <w:rFonts w:ascii="Times New Roman" w:eastAsia="Calibri" w:hAnsi="Times New Roman" w:cs="Times New Roman"/>
                <w:b/>
                <w:bCs/>
                <w:sz w:val="24"/>
                <w:szCs w:val="24"/>
                <w:vertAlign w:val="superscript"/>
                <w:lang w:val="en-US"/>
              </w:rPr>
              <w:t>-2</w:t>
            </w:r>
          </w:p>
        </w:tc>
        <w:tc>
          <w:tcPr>
            <w:tcW w:w="1516"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9.489</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9.489</w:t>
            </w:r>
          </w:p>
        </w:tc>
        <w:tc>
          <w:tcPr>
            <w:tcW w:w="1534"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9.4</w:t>
            </w:r>
            <w:r w:rsidRPr="00A32DB9">
              <w:rPr>
                <w:rFonts w:ascii="Times New Roman" w:eastAsia="Calibri" w:hAnsi="Times New Roman" w:cs="Times New Roman"/>
                <w:sz w:val="24"/>
                <w:szCs w:val="24"/>
              </w:rPr>
              <w:t>32</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9.432</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 xml:space="preserve">Mass density of the solvent </w:t>
            </w:r>
            <w:proofErr w:type="spellStart"/>
            <w:r w:rsidRPr="00A32DB9">
              <w:rPr>
                <w:rFonts w:ascii="Times New Roman" w:eastAsia="Calibri" w:hAnsi="Times New Roman" w:cs="Times New Roman"/>
                <w:b/>
                <w:bCs/>
                <w:sz w:val="24"/>
                <w:szCs w:val="24"/>
                <w:lang w:val="en-US"/>
              </w:rPr>
              <w:t>ρ</w:t>
            </w:r>
            <w:r w:rsidRPr="00A32DB9">
              <w:rPr>
                <w:rFonts w:ascii="Times New Roman" w:eastAsia="Calibri" w:hAnsi="Times New Roman" w:cs="Times New Roman"/>
                <w:b/>
                <w:bCs/>
                <w:sz w:val="24"/>
                <w:szCs w:val="24"/>
                <w:vertAlign w:val="subscript"/>
                <w:lang w:val="en-US"/>
              </w:rPr>
              <w:t>m</w:t>
            </w:r>
            <w:proofErr w:type="spellEnd"/>
            <w:r w:rsidRPr="00A32DB9">
              <w:rPr>
                <w:rFonts w:ascii="Times New Roman" w:eastAsia="Calibri" w:hAnsi="Times New Roman" w:cs="Times New Roman"/>
                <w:b/>
                <w:bCs/>
                <w:sz w:val="24"/>
                <w:szCs w:val="24"/>
                <w:lang w:val="en-US"/>
              </w:rPr>
              <w:t>, g /cm</w:t>
            </w:r>
            <w:r w:rsidRPr="00A32DB9">
              <w:rPr>
                <w:rFonts w:ascii="Times New Roman" w:eastAsia="Calibri" w:hAnsi="Times New Roman" w:cs="Times New Roman"/>
                <w:b/>
                <w:bCs/>
                <w:sz w:val="24"/>
                <w:szCs w:val="24"/>
                <w:vertAlign w:val="superscript"/>
                <w:lang w:val="en-US"/>
              </w:rPr>
              <w:t>3</w:t>
            </w:r>
          </w:p>
        </w:tc>
        <w:tc>
          <w:tcPr>
            <w:tcW w:w="1516"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1.006253</w:t>
            </w:r>
            <w:r w:rsidRPr="00A32DB9">
              <w:rPr>
                <w:rFonts w:ascii="Times New Roman" w:eastAsia="Calibri" w:hAnsi="Times New Roman" w:cs="Times New Roman"/>
                <w:sz w:val="24"/>
                <w:szCs w:val="24"/>
              </w:rPr>
              <w:t xml:space="preserve"> </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1.006253</w:t>
            </w:r>
          </w:p>
        </w:tc>
        <w:tc>
          <w:tcPr>
            <w:tcW w:w="1534"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0.998330</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0.998335</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Experimental molecular weight</w:t>
            </w:r>
            <w:r w:rsidRPr="00A32DB9">
              <w:rPr>
                <w:rFonts w:ascii="Times New Roman" w:eastAsia="Calibri" w:hAnsi="Times New Roman" w:cs="Times New Roman"/>
                <w:b/>
                <w:bCs/>
                <w:sz w:val="24"/>
                <w:szCs w:val="24"/>
                <w:vertAlign w:val="superscript"/>
                <w:lang w:val="en-US"/>
              </w:rPr>
              <w:t>#</w:t>
            </w:r>
            <w:r w:rsidRPr="00A32DB9">
              <w:rPr>
                <w:rFonts w:ascii="Times New Roman" w:eastAsia="Calibri" w:hAnsi="Times New Roman" w:cs="Times New Roman"/>
                <w:b/>
                <w:bCs/>
                <w:sz w:val="24"/>
                <w:szCs w:val="24"/>
              </w:rPr>
              <w:t xml:space="preserve">, </w:t>
            </w:r>
            <w:proofErr w:type="spellStart"/>
            <w:r w:rsidRPr="00A32DB9">
              <w:rPr>
                <w:rFonts w:ascii="Times New Roman" w:eastAsia="Calibri" w:hAnsi="Times New Roman" w:cs="Times New Roman"/>
                <w:b/>
                <w:bCs/>
                <w:sz w:val="24"/>
                <w:szCs w:val="24"/>
                <w:lang w:val="en-US"/>
              </w:rPr>
              <w:t>kDa</w:t>
            </w:r>
            <w:proofErr w:type="spellEnd"/>
          </w:p>
        </w:tc>
        <w:tc>
          <w:tcPr>
            <w:tcW w:w="1516"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59±6</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61±6</w:t>
            </w:r>
          </w:p>
        </w:tc>
        <w:tc>
          <w:tcPr>
            <w:tcW w:w="1534"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57±6</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42±4</w:t>
            </w:r>
          </w:p>
        </w:tc>
      </w:tr>
      <w:tr w:rsidR="00A32DB9" w:rsidRPr="00A32DB9" w:rsidTr="00D55C65">
        <w:trPr>
          <w:jc w:val="center"/>
        </w:trPr>
        <w:tc>
          <w:tcPr>
            <w:tcW w:w="2645" w:type="dxa"/>
          </w:tcPr>
          <w:p w:rsidR="00A32DB9" w:rsidRPr="00A32DB9" w:rsidRDefault="00A32DB9" w:rsidP="00A32DB9">
            <w:pPr>
              <w:spacing w:after="200" w:line="360" w:lineRule="auto"/>
              <w:rPr>
                <w:rFonts w:ascii="Times New Roman" w:eastAsia="Calibri" w:hAnsi="Times New Roman" w:cs="Times New Roman"/>
                <w:b/>
                <w:bCs/>
                <w:sz w:val="24"/>
                <w:szCs w:val="24"/>
                <w:lang w:val="en-US"/>
              </w:rPr>
            </w:pPr>
            <w:r w:rsidRPr="00A32DB9">
              <w:rPr>
                <w:rFonts w:ascii="Times New Roman" w:eastAsia="Calibri" w:hAnsi="Times New Roman" w:cs="Times New Roman"/>
                <w:b/>
                <w:bCs/>
                <w:sz w:val="24"/>
                <w:szCs w:val="24"/>
                <w:lang w:val="en-US"/>
              </w:rPr>
              <w:t xml:space="preserve">Experimental molecular weight/43.7  (calculated molecular weight), </w:t>
            </w:r>
            <w:proofErr w:type="spellStart"/>
            <w:r w:rsidRPr="00A32DB9">
              <w:rPr>
                <w:rFonts w:ascii="Times New Roman" w:eastAsia="Calibri" w:hAnsi="Times New Roman" w:cs="Times New Roman"/>
                <w:b/>
                <w:bCs/>
                <w:sz w:val="24"/>
                <w:szCs w:val="24"/>
                <w:lang w:val="en-US"/>
              </w:rPr>
              <w:t>kDa</w:t>
            </w:r>
            <w:proofErr w:type="spellEnd"/>
          </w:p>
        </w:tc>
        <w:tc>
          <w:tcPr>
            <w:tcW w:w="1516"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rPr>
              <w:t>1.3</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1.4</w:t>
            </w:r>
          </w:p>
        </w:tc>
        <w:tc>
          <w:tcPr>
            <w:tcW w:w="1534" w:type="dxa"/>
          </w:tcPr>
          <w:p w:rsidR="00A32DB9" w:rsidRPr="00A32DB9" w:rsidRDefault="00A32DB9" w:rsidP="00A32DB9">
            <w:pPr>
              <w:spacing w:after="200" w:line="360" w:lineRule="auto"/>
              <w:jc w:val="cente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1.3</w:t>
            </w:r>
          </w:p>
        </w:tc>
        <w:tc>
          <w:tcPr>
            <w:tcW w:w="1847" w:type="dxa"/>
          </w:tcPr>
          <w:p w:rsidR="00A32DB9" w:rsidRPr="00A32DB9" w:rsidRDefault="00A32DB9" w:rsidP="00A32DB9">
            <w:pPr>
              <w:spacing w:after="200" w:line="360" w:lineRule="auto"/>
              <w:jc w:val="center"/>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0.</w:t>
            </w:r>
            <w:r w:rsidRPr="00A32DB9">
              <w:rPr>
                <w:rFonts w:ascii="Times New Roman" w:eastAsia="Calibri" w:hAnsi="Times New Roman" w:cs="Times New Roman"/>
                <w:sz w:val="24"/>
                <w:szCs w:val="24"/>
              </w:rPr>
              <w:t>95</w:t>
            </w:r>
          </w:p>
        </w:tc>
      </w:tr>
    </w:tbl>
    <w:p w:rsidR="00A32DB9" w:rsidRPr="00A32DB9" w:rsidRDefault="00A32DB9" w:rsidP="00A32DB9">
      <w:pPr>
        <w:spacing w:after="200" w:line="360" w:lineRule="auto"/>
        <w:jc w:val="both"/>
        <w:rPr>
          <w:rFonts w:ascii="Times New Roman" w:eastAsia="Calibri" w:hAnsi="Times New Roman" w:cs="Times New Roman"/>
          <w:bCs/>
          <w:sz w:val="28"/>
          <w:szCs w:val="28"/>
          <w:lang w:val="en-US"/>
        </w:rPr>
      </w:pPr>
    </w:p>
    <w:p w:rsidR="00A32DB9" w:rsidRPr="00A32DB9" w:rsidRDefault="00A32DB9" w:rsidP="00A32DB9">
      <w:pPr>
        <w:spacing w:after="200" w:line="360" w:lineRule="auto"/>
        <w:jc w:val="both"/>
        <w:rPr>
          <w:rFonts w:ascii="Times New Roman" w:eastAsia="Calibri" w:hAnsi="Times New Roman" w:cs="Times New Roman"/>
          <w:sz w:val="28"/>
          <w:szCs w:val="28"/>
          <w:lang w:val="en-US"/>
        </w:rPr>
      </w:pPr>
      <w:r w:rsidRPr="00A32DB9">
        <w:rPr>
          <w:rFonts w:ascii="Times New Roman" w:eastAsia="Calibri" w:hAnsi="Times New Roman" w:cs="Times New Roman"/>
          <w:b/>
          <w:sz w:val="28"/>
          <w:szCs w:val="28"/>
          <w:lang w:val="en-US"/>
        </w:rPr>
        <w:t>Table S2.</w:t>
      </w:r>
      <w:r w:rsidRPr="00A32DB9">
        <w:rPr>
          <w:rFonts w:ascii="Times New Roman" w:eastAsia="Calibri" w:hAnsi="Times New Roman" w:cs="Times New Roman"/>
          <w:sz w:val="28"/>
          <w:szCs w:val="28"/>
          <w:lang w:val="en-US"/>
        </w:rPr>
        <w:t xml:space="preserve"> Secondary structure content of Dsup protein obtained from CD-spectroscopy data analyzed by the </w:t>
      </w:r>
      <w:proofErr w:type="spellStart"/>
      <w:r w:rsidRPr="00A32DB9">
        <w:rPr>
          <w:rFonts w:ascii="Times New Roman" w:eastAsia="Calibri" w:hAnsi="Times New Roman" w:cs="Times New Roman"/>
          <w:sz w:val="28"/>
          <w:szCs w:val="28"/>
          <w:lang w:val="en-US"/>
        </w:rPr>
        <w:t>DichroWeb</w:t>
      </w:r>
      <w:proofErr w:type="spellEnd"/>
      <w:r w:rsidRPr="00A32DB9">
        <w:rPr>
          <w:rFonts w:ascii="Times New Roman" w:eastAsia="Calibri" w:hAnsi="Times New Roman" w:cs="Times New Roman"/>
          <w:sz w:val="28"/>
          <w:szCs w:val="28"/>
          <w:lang w:val="en-US"/>
        </w:rPr>
        <w:t xml:space="preserve"> server.</w:t>
      </w:r>
    </w:p>
    <w:tbl>
      <w:tblPr>
        <w:tblW w:w="6671" w:type="dxa"/>
        <w:jc w:val="center"/>
        <w:tblLook w:val="04A0" w:firstRow="1" w:lastRow="0" w:firstColumn="1" w:lastColumn="0" w:noHBand="0" w:noVBand="1"/>
      </w:tblPr>
      <w:tblGrid>
        <w:gridCol w:w="2163"/>
        <w:gridCol w:w="797"/>
        <w:gridCol w:w="778"/>
        <w:gridCol w:w="1706"/>
        <w:gridCol w:w="236"/>
        <w:gridCol w:w="41"/>
        <w:gridCol w:w="1096"/>
      </w:tblGrid>
      <w:tr w:rsidR="00A32DB9" w:rsidRPr="00A32DB9" w:rsidTr="00D55C65">
        <w:trPr>
          <w:trHeight w:val="330"/>
          <w:jc w:val="center"/>
        </w:trPr>
        <w:tc>
          <w:tcPr>
            <w:tcW w:w="2163" w:type="dxa"/>
            <w:tcBorders>
              <w:top w:val="single" w:sz="8" w:space="0" w:color="auto"/>
              <w:left w:val="single" w:sz="8" w:space="0" w:color="auto"/>
              <w:bottom w:val="single" w:sz="8" w:space="0" w:color="auto"/>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Algorithm of calculations</w:t>
            </w:r>
          </w:p>
        </w:tc>
        <w:tc>
          <w:tcPr>
            <w:tcW w:w="79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α, %</w:t>
            </w:r>
          </w:p>
        </w:tc>
        <w:tc>
          <w:tcPr>
            <w:tcW w:w="778" w:type="dxa"/>
            <w:tcBorders>
              <w:top w:val="single" w:sz="8" w:space="0" w:color="auto"/>
              <w:left w:val="nil"/>
              <w:bottom w:val="single" w:sz="8" w:space="0" w:color="auto"/>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β, %</w:t>
            </w:r>
          </w:p>
        </w:tc>
        <w:tc>
          <w:tcPr>
            <w:tcW w:w="1983" w:type="dxa"/>
            <w:gridSpan w:val="3"/>
            <w:tcBorders>
              <w:top w:val="single" w:sz="8" w:space="0" w:color="auto"/>
              <w:left w:val="nil"/>
              <w:bottom w:val="single" w:sz="8" w:space="0" w:color="auto"/>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random coil, %</w:t>
            </w:r>
          </w:p>
        </w:tc>
        <w:tc>
          <w:tcPr>
            <w:tcW w:w="950" w:type="dxa"/>
            <w:tcBorders>
              <w:top w:val="single" w:sz="8" w:space="0" w:color="auto"/>
              <w:left w:val="nil"/>
              <w:bottom w:val="single" w:sz="8" w:space="0" w:color="auto"/>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NRMSD</w:t>
            </w:r>
          </w:p>
        </w:tc>
      </w:tr>
      <w:tr w:rsidR="00A32DB9" w:rsidRPr="00A32DB9" w:rsidTr="00D55C65">
        <w:trPr>
          <w:trHeight w:val="330"/>
          <w:jc w:val="center"/>
        </w:trPr>
        <w:tc>
          <w:tcPr>
            <w:tcW w:w="2163" w:type="dxa"/>
            <w:tcBorders>
              <w:top w:val="nil"/>
              <w:left w:val="single" w:sz="8" w:space="0" w:color="auto"/>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Dsup in PBS</w:t>
            </w:r>
          </w:p>
        </w:tc>
        <w:tc>
          <w:tcPr>
            <w:tcW w:w="797" w:type="dxa"/>
            <w:tcBorders>
              <w:top w:val="nil"/>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c>
          <w:tcPr>
            <w:tcW w:w="778" w:type="dxa"/>
            <w:tcBorders>
              <w:top w:val="nil"/>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c>
          <w:tcPr>
            <w:tcW w:w="1983" w:type="dxa"/>
            <w:gridSpan w:val="3"/>
            <w:tcBorders>
              <w:top w:val="single" w:sz="8" w:space="0" w:color="auto"/>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c>
          <w:tcPr>
            <w:tcW w:w="950" w:type="dxa"/>
            <w:tcBorders>
              <w:top w:val="single" w:sz="8" w:space="0" w:color="auto"/>
              <w:left w:val="nil"/>
              <w:bottom w:val="single" w:sz="8" w:space="0" w:color="auto"/>
              <w:right w:val="single" w:sz="8" w:space="0" w:color="000000"/>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r>
      <w:tr w:rsidR="00A32DB9" w:rsidRPr="00A32DB9" w:rsidTr="00D55C65">
        <w:trPr>
          <w:trHeight w:val="315"/>
          <w:jc w:val="center"/>
        </w:trPr>
        <w:tc>
          <w:tcPr>
            <w:tcW w:w="2163" w:type="dxa"/>
            <w:tcBorders>
              <w:top w:val="single" w:sz="8" w:space="0" w:color="000000"/>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proofErr w:type="spellStart"/>
            <w:r w:rsidRPr="00A32DB9">
              <w:rPr>
                <w:rFonts w:ascii="Times New Roman" w:eastAsia="Times New Roman" w:hAnsi="Times New Roman" w:cs="Times New Roman"/>
                <w:color w:val="000000"/>
                <w:sz w:val="24"/>
                <w:szCs w:val="24"/>
                <w:lang w:val="en-PH" w:eastAsia="en-PH"/>
              </w:rPr>
              <w:t>ContinLL</w:t>
            </w:r>
            <w:proofErr w:type="spellEnd"/>
          </w:p>
        </w:tc>
        <w:tc>
          <w:tcPr>
            <w:tcW w:w="797" w:type="dxa"/>
            <w:tcBorders>
              <w:top w:val="single" w:sz="8" w:space="0" w:color="000000"/>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9</w:t>
            </w:r>
          </w:p>
        </w:tc>
        <w:tc>
          <w:tcPr>
            <w:tcW w:w="778" w:type="dxa"/>
            <w:tcBorders>
              <w:top w:val="single" w:sz="8" w:space="0" w:color="000000"/>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31</w:t>
            </w:r>
          </w:p>
        </w:tc>
        <w:tc>
          <w:tcPr>
            <w:tcW w:w="1983" w:type="dxa"/>
            <w:gridSpan w:val="3"/>
            <w:tcBorders>
              <w:top w:val="single" w:sz="8" w:space="0" w:color="000000"/>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60</w:t>
            </w:r>
          </w:p>
        </w:tc>
        <w:tc>
          <w:tcPr>
            <w:tcW w:w="950" w:type="dxa"/>
            <w:tcBorders>
              <w:top w:val="single" w:sz="8" w:space="0" w:color="000000"/>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0.13</w:t>
            </w:r>
          </w:p>
        </w:tc>
      </w:tr>
      <w:tr w:rsidR="00A32DB9" w:rsidRPr="00A32DB9" w:rsidTr="00D55C65">
        <w:trPr>
          <w:trHeight w:val="315"/>
          <w:jc w:val="center"/>
        </w:trPr>
        <w:tc>
          <w:tcPr>
            <w:tcW w:w="2163"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4)</w:t>
            </w:r>
          </w:p>
        </w:tc>
        <w:tc>
          <w:tcPr>
            <w:tcW w:w="797" w:type="dxa"/>
            <w:tcBorders>
              <w:top w:val="nil"/>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10</w:t>
            </w:r>
          </w:p>
        </w:tc>
        <w:tc>
          <w:tcPr>
            <w:tcW w:w="778"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29</w:t>
            </w:r>
          </w:p>
        </w:tc>
        <w:tc>
          <w:tcPr>
            <w:tcW w:w="1983" w:type="dxa"/>
            <w:gridSpan w:val="3"/>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61</w:t>
            </w:r>
          </w:p>
        </w:tc>
        <w:tc>
          <w:tcPr>
            <w:tcW w:w="950" w:type="dxa"/>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0.025</w:t>
            </w:r>
          </w:p>
        </w:tc>
      </w:tr>
      <w:tr w:rsidR="00A32DB9" w:rsidRPr="00A32DB9" w:rsidTr="00D55C65">
        <w:trPr>
          <w:trHeight w:val="315"/>
          <w:jc w:val="center"/>
        </w:trPr>
        <w:tc>
          <w:tcPr>
            <w:tcW w:w="2163"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7)</w:t>
            </w:r>
          </w:p>
        </w:tc>
        <w:tc>
          <w:tcPr>
            <w:tcW w:w="797" w:type="dxa"/>
            <w:tcBorders>
              <w:top w:val="nil"/>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5</w:t>
            </w:r>
          </w:p>
        </w:tc>
        <w:tc>
          <w:tcPr>
            <w:tcW w:w="778"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24</w:t>
            </w:r>
          </w:p>
        </w:tc>
        <w:tc>
          <w:tcPr>
            <w:tcW w:w="1983" w:type="dxa"/>
            <w:gridSpan w:val="3"/>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71</w:t>
            </w:r>
          </w:p>
        </w:tc>
        <w:tc>
          <w:tcPr>
            <w:tcW w:w="950" w:type="dxa"/>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0.029</w:t>
            </w:r>
          </w:p>
        </w:tc>
      </w:tr>
      <w:tr w:rsidR="00A32DB9" w:rsidRPr="00A32DB9" w:rsidTr="00D55C65">
        <w:trPr>
          <w:trHeight w:val="315"/>
          <w:jc w:val="center"/>
        </w:trPr>
        <w:tc>
          <w:tcPr>
            <w:tcW w:w="2163"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180)</w:t>
            </w:r>
          </w:p>
        </w:tc>
        <w:tc>
          <w:tcPr>
            <w:tcW w:w="797" w:type="dxa"/>
            <w:tcBorders>
              <w:top w:val="nil"/>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4</w:t>
            </w:r>
          </w:p>
        </w:tc>
        <w:tc>
          <w:tcPr>
            <w:tcW w:w="778"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40</w:t>
            </w:r>
          </w:p>
        </w:tc>
        <w:tc>
          <w:tcPr>
            <w:tcW w:w="1983" w:type="dxa"/>
            <w:gridSpan w:val="3"/>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56</w:t>
            </w:r>
          </w:p>
        </w:tc>
        <w:tc>
          <w:tcPr>
            <w:tcW w:w="950" w:type="dxa"/>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0.042</w:t>
            </w:r>
          </w:p>
        </w:tc>
      </w:tr>
      <w:tr w:rsidR="00A32DB9" w:rsidRPr="00A32DB9" w:rsidTr="00D55C65">
        <w:trPr>
          <w:trHeight w:val="360"/>
          <w:jc w:val="center"/>
        </w:trPr>
        <w:tc>
          <w:tcPr>
            <w:tcW w:w="2163" w:type="dxa"/>
            <w:tcBorders>
              <w:top w:val="nil"/>
              <w:left w:val="single" w:sz="8" w:space="0" w:color="auto"/>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Dsup in H</w:t>
            </w:r>
            <w:r w:rsidRPr="00A32DB9">
              <w:rPr>
                <w:rFonts w:ascii="Times New Roman" w:eastAsia="Times New Roman" w:hAnsi="Times New Roman" w:cs="Times New Roman"/>
                <w:b/>
                <w:bCs/>
                <w:color w:val="000000"/>
                <w:sz w:val="24"/>
                <w:szCs w:val="24"/>
                <w:vertAlign w:val="subscript"/>
                <w:lang w:val="en-PH" w:eastAsia="en-PH"/>
              </w:rPr>
              <w:t>2</w:t>
            </w:r>
            <w:r w:rsidRPr="00A32DB9">
              <w:rPr>
                <w:rFonts w:ascii="Times New Roman" w:eastAsia="Times New Roman" w:hAnsi="Times New Roman" w:cs="Times New Roman"/>
                <w:b/>
                <w:bCs/>
                <w:color w:val="000000"/>
                <w:sz w:val="24"/>
                <w:szCs w:val="24"/>
                <w:lang w:val="en-PH" w:eastAsia="en-PH"/>
              </w:rPr>
              <w:t>O</w:t>
            </w:r>
          </w:p>
        </w:tc>
        <w:tc>
          <w:tcPr>
            <w:tcW w:w="797" w:type="dxa"/>
            <w:tcBorders>
              <w:top w:val="nil"/>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c>
          <w:tcPr>
            <w:tcW w:w="778" w:type="dxa"/>
            <w:tcBorders>
              <w:top w:val="nil"/>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c>
          <w:tcPr>
            <w:tcW w:w="1983" w:type="dxa"/>
            <w:gridSpan w:val="3"/>
            <w:tcBorders>
              <w:top w:val="single" w:sz="8" w:space="0" w:color="auto"/>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c>
          <w:tcPr>
            <w:tcW w:w="950" w:type="dxa"/>
            <w:tcBorders>
              <w:top w:val="single" w:sz="8" w:space="0" w:color="auto"/>
              <w:left w:val="nil"/>
              <w:bottom w:val="single" w:sz="8" w:space="0" w:color="auto"/>
              <w:right w:val="single" w:sz="8" w:space="0" w:color="000000"/>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r>
      <w:tr w:rsidR="00A32DB9" w:rsidRPr="00A32DB9" w:rsidTr="00D55C65">
        <w:trPr>
          <w:trHeight w:val="315"/>
          <w:jc w:val="center"/>
        </w:trPr>
        <w:tc>
          <w:tcPr>
            <w:tcW w:w="2163" w:type="dxa"/>
            <w:tcBorders>
              <w:top w:val="single" w:sz="8" w:space="0" w:color="000000"/>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proofErr w:type="spellStart"/>
            <w:r w:rsidRPr="00A32DB9">
              <w:rPr>
                <w:rFonts w:ascii="Times New Roman" w:eastAsia="Times New Roman" w:hAnsi="Times New Roman" w:cs="Times New Roman"/>
                <w:color w:val="000000"/>
                <w:sz w:val="24"/>
                <w:szCs w:val="24"/>
                <w:lang w:val="en-PH" w:eastAsia="en-PH"/>
              </w:rPr>
              <w:t>ContinLL</w:t>
            </w:r>
            <w:proofErr w:type="spellEnd"/>
          </w:p>
        </w:tc>
        <w:tc>
          <w:tcPr>
            <w:tcW w:w="797" w:type="dxa"/>
            <w:tcBorders>
              <w:top w:val="single" w:sz="8" w:space="0" w:color="000000"/>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7</w:t>
            </w:r>
          </w:p>
        </w:tc>
        <w:tc>
          <w:tcPr>
            <w:tcW w:w="778" w:type="dxa"/>
            <w:tcBorders>
              <w:top w:val="single" w:sz="8" w:space="0" w:color="000000"/>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34</w:t>
            </w:r>
          </w:p>
        </w:tc>
        <w:tc>
          <w:tcPr>
            <w:tcW w:w="1983" w:type="dxa"/>
            <w:gridSpan w:val="3"/>
            <w:tcBorders>
              <w:top w:val="single" w:sz="8" w:space="0" w:color="000000"/>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59</w:t>
            </w:r>
          </w:p>
        </w:tc>
        <w:tc>
          <w:tcPr>
            <w:tcW w:w="950" w:type="dxa"/>
            <w:tcBorders>
              <w:top w:val="single" w:sz="8" w:space="0" w:color="000000"/>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0.115</w:t>
            </w:r>
          </w:p>
        </w:tc>
      </w:tr>
      <w:tr w:rsidR="00A32DB9" w:rsidRPr="00A32DB9" w:rsidTr="00D55C65">
        <w:trPr>
          <w:trHeight w:val="315"/>
          <w:jc w:val="center"/>
        </w:trPr>
        <w:tc>
          <w:tcPr>
            <w:tcW w:w="2163"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4)</w:t>
            </w:r>
          </w:p>
        </w:tc>
        <w:tc>
          <w:tcPr>
            <w:tcW w:w="797" w:type="dxa"/>
            <w:tcBorders>
              <w:top w:val="nil"/>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6</w:t>
            </w:r>
          </w:p>
        </w:tc>
        <w:tc>
          <w:tcPr>
            <w:tcW w:w="778"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33</w:t>
            </w:r>
          </w:p>
        </w:tc>
        <w:tc>
          <w:tcPr>
            <w:tcW w:w="1983" w:type="dxa"/>
            <w:gridSpan w:val="3"/>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61</w:t>
            </w:r>
          </w:p>
        </w:tc>
        <w:tc>
          <w:tcPr>
            <w:tcW w:w="950" w:type="dxa"/>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0.01</w:t>
            </w:r>
          </w:p>
        </w:tc>
      </w:tr>
      <w:tr w:rsidR="00A32DB9" w:rsidRPr="00A32DB9" w:rsidTr="00D55C65">
        <w:trPr>
          <w:trHeight w:val="315"/>
          <w:jc w:val="center"/>
        </w:trPr>
        <w:tc>
          <w:tcPr>
            <w:tcW w:w="2163"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7)</w:t>
            </w:r>
          </w:p>
        </w:tc>
        <w:tc>
          <w:tcPr>
            <w:tcW w:w="797" w:type="dxa"/>
            <w:tcBorders>
              <w:top w:val="nil"/>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2</w:t>
            </w:r>
          </w:p>
        </w:tc>
        <w:tc>
          <w:tcPr>
            <w:tcW w:w="778"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18</w:t>
            </w:r>
          </w:p>
        </w:tc>
        <w:tc>
          <w:tcPr>
            <w:tcW w:w="1983" w:type="dxa"/>
            <w:gridSpan w:val="3"/>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79</w:t>
            </w:r>
          </w:p>
        </w:tc>
        <w:tc>
          <w:tcPr>
            <w:tcW w:w="950" w:type="dxa"/>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0.009</w:t>
            </w:r>
          </w:p>
        </w:tc>
      </w:tr>
      <w:tr w:rsidR="00A32DB9" w:rsidRPr="00A32DB9" w:rsidTr="00D55C65">
        <w:trPr>
          <w:trHeight w:val="315"/>
          <w:jc w:val="center"/>
        </w:trPr>
        <w:tc>
          <w:tcPr>
            <w:tcW w:w="2163"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180)</w:t>
            </w:r>
          </w:p>
        </w:tc>
        <w:tc>
          <w:tcPr>
            <w:tcW w:w="797" w:type="dxa"/>
            <w:tcBorders>
              <w:top w:val="nil"/>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4</w:t>
            </w:r>
          </w:p>
        </w:tc>
        <w:tc>
          <w:tcPr>
            <w:tcW w:w="778"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33</w:t>
            </w:r>
          </w:p>
        </w:tc>
        <w:tc>
          <w:tcPr>
            <w:tcW w:w="1983" w:type="dxa"/>
            <w:gridSpan w:val="3"/>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63</w:t>
            </w:r>
          </w:p>
        </w:tc>
        <w:tc>
          <w:tcPr>
            <w:tcW w:w="950" w:type="dxa"/>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0.011</w:t>
            </w:r>
          </w:p>
        </w:tc>
      </w:tr>
      <w:tr w:rsidR="00A32DB9" w:rsidRPr="00A32DB9" w:rsidTr="00D55C65">
        <w:trPr>
          <w:trHeight w:val="360"/>
          <w:jc w:val="center"/>
        </w:trPr>
        <w:tc>
          <w:tcPr>
            <w:tcW w:w="2163" w:type="dxa"/>
            <w:tcBorders>
              <w:top w:val="nil"/>
              <w:left w:val="single" w:sz="8" w:space="0" w:color="auto"/>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r w:rsidRPr="00A32DB9">
              <w:rPr>
                <w:rFonts w:ascii="Times New Roman" w:eastAsia="Times New Roman" w:hAnsi="Times New Roman" w:cs="Times New Roman"/>
                <w:b/>
                <w:bCs/>
                <w:color w:val="000000"/>
                <w:sz w:val="24"/>
                <w:szCs w:val="24"/>
                <w:lang w:val="en-PH" w:eastAsia="en-PH"/>
              </w:rPr>
              <w:t>Dsup-DNA in H</w:t>
            </w:r>
            <w:r w:rsidRPr="00A32DB9">
              <w:rPr>
                <w:rFonts w:ascii="Times New Roman" w:eastAsia="Times New Roman" w:hAnsi="Times New Roman" w:cs="Times New Roman"/>
                <w:b/>
                <w:bCs/>
                <w:color w:val="000000"/>
                <w:sz w:val="24"/>
                <w:szCs w:val="24"/>
                <w:vertAlign w:val="subscript"/>
                <w:lang w:val="en-PH" w:eastAsia="en-PH"/>
              </w:rPr>
              <w:t>2</w:t>
            </w:r>
            <w:r w:rsidRPr="00A32DB9">
              <w:rPr>
                <w:rFonts w:ascii="Times New Roman" w:eastAsia="Times New Roman" w:hAnsi="Times New Roman" w:cs="Times New Roman"/>
                <w:b/>
                <w:bCs/>
                <w:color w:val="000000"/>
                <w:sz w:val="24"/>
                <w:szCs w:val="24"/>
                <w:lang w:val="en-PH" w:eastAsia="en-PH"/>
              </w:rPr>
              <w:t>O</w:t>
            </w:r>
          </w:p>
        </w:tc>
        <w:tc>
          <w:tcPr>
            <w:tcW w:w="3281" w:type="dxa"/>
            <w:gridSpan w:val="3"/>
            <w:tcBorders>
              <w:top w:val="single" w:sz="8" w:space="0" w:color="auto"/>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b/>
                <w:bCs/>
                <w:color w:val="000000"/>
                <w:sz w:val="24"/>
                <w:szCs w:val="24"/>
                <w:lang w:val="en-PH" w:eastAsia="en-PH"/>
              </w:rPr>
            </w:pPr>
          </w:p>
        </w:tc>
        <w:tc>
          <w:tcPr>
            <w:tcW w:w="236" w:type="dxa"/>
            <w:tcBorders>
              <w:top w:val="single" w:sz="8" w:space="0" w:color="auto"/>
              <w:left w:val="nil"/>
              <w:bottom w:val="single" w:sz="8" w:space="0" w:color="auto"/>
              <w:right w:val="nil"/>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c>
          <w:tcPr>
            <w:tcW w:w="991" w:type="dxa"/>
            <w:gridSpan w:val="2"/>
            <w:tcBorders>
              <w:top w:val="nil"/>
              <w:left w:val="nil"/>
              <w:bottom w:val="single" w:sz="8" w:space="0" w:color="auto"/>
              <w:right w:val="single" w:sz="8" w:space="0" w:color="auto"/>
            </w:tcBorders>
            <w:shd w:val="clear" w:color="000000" w:fill="D8D8D8"/>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p>
        </w:tc>
      </w:tr>
      <w:tr w:rsidR="00A32DB9" w:rsidRPr="00A32DB9" w:rsidTr="00D55C65">
        <w:trPr>
          <w:trHeight w:val="315"/>
          <w:jc w:val="center"/>
        </w:trPr>
        <w:tc>
          <w:tcPr>
            <w:tcW w:w="2163" w:type="dxa"/>
            <w:tcBorders>
              <w:top w:val="single" w:sz="8" w:space="0" w:color="000000"/>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proofErr w:type="spellStart"/>
            <w:r w:rsidRPr="00A32DB9">
              <w:rPr>
                <w:rFonts w:ascii="Times New Roman" w:eastAsia="Times New Roman" w:hAnsi="Times New Roman" w:cs="Times New Roman"/>
                <w:color w:val="000000"/>
                <w:sz w:val="24"/>
                <w:szCs w:val="24"/>
                <w:lang w:val="en-PH" w:eastAsia="en-PH"/>
              </w:rPr>
              <w:t>ContinLL</w:t>
            </w:r>
            <w:proofErr w:type="spellEnd"/>
          </w:p>
        </w:tc>
        <w:tc>
          <w:tcPr>
            <w:tcW w:w="797" w:type="dxa"/>
            <w:tcBorders>
              <w:top w:val="single" w:sz="8" w:space="0" w:color="000000"/>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11</w:t>
            </w:r>
          </w:p>
        </w:tc>
        <w:tc>
          <w:tcPr>
            <w:tcW w:w="778" w:type="dxa"/>
            <w:tcBorders>
              <w:top w:val="single" w:sz="8" w:space="0" w:color="000000"/>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27</w:t>
            </w:r>
          </w:p>
        </w:tc>
        <w:tc>
          <w:tcPr>
            <w:tcW w:w="1983" w:type="dxa"/>
            <w:gridSpan w:val="3"/>
            <w:tcBorders>
              <w:top w:val="single" w:sz="8" w:space="0" w:color="000000"/>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62</w:t>
            </w:r>
          </w:p>
        </w:tc>
        <w:tc>
          <w:tcPr>
            <w:tcW w:w="950" w:type="dxa"/>
            <w:tcBorders>
              <w:top w:val="single" w:sz="8" w:space="0" w:color="000000"/>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0.076</w:t>
            </w:r>
          </w:p>
        </w:tc>
      </w:tr>
      <w:tr w:rsidR="00A32DB9" w:rsidRPr="00A32DB9" w:rsidTr="00D55C65">
        <w:trPr>
          <w:trHeight w:val="315"/>
          <w:jc w:val="center"/>
        </w:trPr>
        <w:tc>
          <w:tcPr>
            <w:tcW w:w="2163"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4)</w:t>
            </w:r>
          </w:p>
        </w:tc>
        <w:tc>
          <w:tcPr>
            <w:tcW w:w="797" w:type="dxa"/>
            <w:tcBorders>
              <w:top w:val="nil"/>
              <w:left w:val="nil"/>
              <w:bottom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9</w:t>
            </w:r>
          </w:p>
        </w:tc>
        <w:tc>
          <w:tcPr>
            <w:tcW w:w="778" w:type="dxa"/>
            <w:tcBorders>
              <w:top w:val="nil"/>
              <w:left w:val="single" w:sz="8" w:space="0" w:color="auto"/>
              <w:bottom w:val="nil"/>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32</w:t>
            </w:r>
          </w:p>
        </w:tc>
        <w:tc>
          <w:tcPr>
            <w:tcW w:w="1983" w:type="dxa"/>
            <w:gridSpan w:val="3"/>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59</w:t>
            </w:r>
          </w:p>
        </w:tc>
        <w:tc>
          <w:tcPr>
            <w:tcW w:w="950" w:type="dxa"/>
            <w:tcBorders>
              <w:top w:val="nil"/>
              <w:left w:val="nil"/>
              <w:bottom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0.021</w:t>
            </w:r>
          </w:p>
        </w:tc>
      </w:tr>
      <w:tr w:rsidR="00A32DB9" w:rsidRPr="00A32DB9" w:rsidTr="00D55C65">
        <w:trPr>
          <w:trHeight w:val="315"/>
          <w:jc w:val="center"/>
        </w:trPr>
        <w:tc>
          <w:tcPr>
            <w:tcW w:w="2163" w:type="dxa"/>
            <w:tcBorders>
              <w:top w:val="nil"/>
              <w:left w:val="single" w:sz="8" w:space="0" w:color="auto"/>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7)</w:t>
            </w:r>
          </w:p>
        </w:tc>
        <w:tc>
          <w:tcPr>
            <w:tcW w:w="797" w:type="dxa"/>
            <w:tcBorders>
              <w:top w:val="nil"/>
              <w:left w:val="nil"/>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4</w:t>
            </w:r>
          </w:p>
        </w:tc>
        <w:tc>
          <w:tcPr>
            <w:tcW w:w="778" w:type="dxa"/>
            <w:tcBorders>
              <w:top w:val="nil"/>
              <w:left w:val="single" w:sz="8" w:space="0" w:color="auto"/>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26</w:t>
            </w:r>
          </w:p>
        </w:tc>
        <w:tc>
          <w:tcPr>
            <w:tcW w:w="1983" w:type="dxa"/>
            <w:gridSpan w:val="3"/>
            <w:tcBorders>
              <w:top w:val="nil"/>
              <w:left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70</w:t>
            </w:r>
          </w:p>
        </w:tc>
        <w:tc>
          <w:tcPr>
            <w:tcW w:w="950" w:type="dxa"/>
            <w:tcBorders>
              <w:top w:val="nil"/>
              <w:left w:val="nil"/>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0.024</w:t>
            </w:r>
          </w:p>
        </w:tc>
      </w:tr>
      <w:tr w:rsidR="00A32DB9" w:rsidRPr="00A32DB9" w:rsidTr="00D55C65">
        <w:trPr>
          <w:trHeight w:val="315"/>
          <w:jc w:val="center"/>
        </w:trPr>
        <w:tc>
          <w:tcPr>
            <w:tcW w:w="2163" w:type="dxa"/>
            <w:tcBorders>
              <w:top w:val="nil"/>
              <w:left w:val="single" w:sz="8" w:space="0" w:color="auto"/>
              <w:bottom w:val="single" w:sz="8" w:space="0" w:color="000000"/>
              <w:right w:val="single" w:sz="8" w:space="0" w:color="auto"/>
            </w:tcBorders>
            <w:shd w:val="clear" w:color="auto" w:fill="auto"/>
            <w:noWrap/>
            <w:vAlign w:val="bottom"/>
            <w:hideMark/>
          </w:tcPr>
          <w:p w:rsidR="00A32DB9" w:rsidRPr="00A32DB9" w:rsidRDefault="00A32DB9" w:rsidP="00A32DB9">
            <w:pPr>
              <w:spacing w:after="0" w:line="360" w:lineRule="auto"/>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CDSSTR (Set 180)</w:t>
            </w:r>
          </w:p>
        </w:tc>
        <w:tc>
          <w:tcPr>
            <w:tcW w:w="797" w:type="dxa"/>
            <w:tcBorders>
              <w:top w:val="nil"/>
              <w:left w:val="nil"/>
              <w:bottom w:val="single" w:sz="8" w:space="0" w:color="000000"/>
              <w:right w:val="nil"/>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5</w:t>
            </w:r>
          </w:p>
        </w:tc>
        <w:tc>
          <w:tcPr>
            <w:tcW w:w="778" w:type="dxa"/>
            <w:tcBorders>
              <w:top w:val="nil"/>
              <w:left w:val="single" w:sz="8" w:space="0" w:color="auto"/>
              <w:bottom w:val="single" w:sz="8" w:space="0" w:color="000000"/>
              <w:right w:val="single" w:sz="8" w:space="0" w:color="auto"/>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34</w:t>
            </w:r>
          </w:p>
        </w:tc>
        <w:tc>
          <w:tcPr>
            <w:tcW w:w="1983" w:type="dxa"/>
            <w:gridSpan w:val="3"/>
            <w:tcBorders>
              <w:top w:val="nil"/>
              <w:left w:val="nil"/>
              <w:bottom w:val="single" w:sz="8" w:space="0" w:color="000000"/>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61</w:t>
            </w:r>
          </w:p>
        </w:tc>
        <w:tc>
          <w:tcPr>
            <w:tcW w:w="950" w:type="dxa"/>
            <w:tcBorders>
              <w:top w:val="nil"/>
              <w:left w:val="nil"/>
              <w:bottom w:val="single" w:sz="8" w:space="0" w:color="000000"/>
              <w:right w:val="single" w:sz="8" w:space="0" w:color="000000"/>
            </w:tcBorders>
            <w:shd w:val="clear" w:color="auto" w:fill="auto"/>
            <w:noWrap/>
            <w:vAlign w:val="bottom"/>
            <w:hideMark/>
          </w:tcPr>
          <w:p w:rsidR="00A32DB9" w:rsidRPr="00A32DB9" w:rsidRDefault="00A32DB9" w:rsidP="00A32DB9">
            <w:pPr>
              <w:spacing w:after="0" w:line="360" w:lineRule="auto"/>
              <w:jc w:val="center"/>
              <w:rPr>
                <w:rFonts w:ascii="Times New Roman" w:eastAsia="Times New Roman" w:hAnsi="Times New Roman" w:cs="Times New Roman"/>
                <w:color w:val="000000"/>
                <w:sz w:val="24"/>
                <w:szCs w:val="24"/>
                <w:lang w:val="en-PH" w:eastAsia="en-PH"/>
              </w:rPr>
            </w:pPr>
            <w:r w:rsidRPr="00A32DB9">
              <w:rPr>
                <w:rFonts w:ascii="Times New Roman" w:eastAsia="Times New Roman" w:hAnsi="Times New Roman" w:cs="Times New Roman"/>
                <w:color w:val="000000"/>
                <w:sz w:val="24"/>
                <w:szCs w:val="24"/>
                <w:lang w:val="en-PH" w:eastAsia="en-PH"/>
              </w:rPr>
              <w:t>0.034</w:t>
            </w:r>
          </w:p>
        </w:tc>
      </w:tr>
    </w:tbl>
    <w:p w:rsidR="00A32DB9" w:rsidRPr="00A32DB9" w:rsidRDefault="00A32DB9" w:rsidP="00A32DB9">
      <w:pPr>
        <w:spacing w:after="200" w:line="360" w:lineRule="auto"/>
        <w:jc w:val="both"/>
        <w:rPr>
          <w:rFonts w:ascii="Times New Roman" w:eastAsia="Calibri" w:hAnsi="Times New Roman" w:cs="Times New Roman"/>
          <w:b/>
          <w:sz w:val="28"/>
          <w:szCs w:val="28"/>
          <w:lang w:val="en-PH"/>
        </w:rPr>
      </w:pPr>
      <w:r w:rsidRPr="00A32DB9">
        <w:rPr>
          <w:rFonts w:ascii="Times New Roman" w:eastAsia="Calibri" w:hAnsi="Times New Roman" w:cs="Times New Roman"/>
          <w:b/>
          <w:sz w:val="28"/>
          <w:szCs w:val="28"/>
        </w:rPr>
        <w:lastRenderedPageBreak/>
        <w:br/>
      </w:r>
    </w:p>
    <w:p w:rsidR="00A32DB9" w:rsidRPr="00A32DB9" w:rsidRDefault="00A32DB9" w:rsidP="00A32DB9">
      <w:pPr>
        <w:spacing w:after="200" w:line="276" w:lineRule="auto"/>
        <w:jc w:val="both"/>
        <w:rPr>
          <w:rFonts w:ascii="Times New Roman" w:eastAsia="Calibri" w:hAnsi="Times New Roman" w:cs="Times New Roman"/>
          <w:b/>
          <w:sz w:val="28"/>
          <w:szCs w:val="28"/>
          <w:lang w:val="en-US"/>
        </w:rPr>
      </w:pPr>
      <w:r w:rsidRPr="00A32DB9">
        <w:rPr>
          <w:rFonts w:ascii="Times New Roman" w:eastAsia="Calibri" w:hAnsi="Times New Roman" w:cs="Times New Roman"/>
          <w:b/>
          <w:sz w:val="28"/>
          <w:szCs w:val="28"/>
          <w:lang w:val="en-US"/>
        </w:rPr>
        <w:t xml:space="preserve">Table S3. </w:t>
      </w:r>
      <w:r w:rsidRPr="00A32DB9">
        <w:rPr>
          <w:rFonts w:ascii="Times New Roman" w:eastAsia="Calibri" w:hAnsi="Times New Roman" w:cs="Times New Roman"/>
          <w:sz w:val="28"/>
          <w:szCs w:val="28"/>
          <w:lang w:val="en-US"/>
        </w:rPr>
        <w:t>DNA binding IDPs and associated biological processes</w:t>
      </w:r>
    </w:p>
    <w:tbl>
      <w:tblPr>
        <w:tblStyle w:val="a3"/>
        <w:tblW w:w="10110" w:type="dxa"/>
        <w:tblInd w:w="-318" w:type="dxa"/>
        <w:tblLayout w:type="fixed"/>
        <w:tblLook w:val="04A0" w:firstRow="1" w:lastRow="0" w:firstColumn="1" w:lastColumn="0" w:noHBand="0" w:noVBand="1"/>
      </w:tblPr>
      <w:tblGrid>
        <w:gridCol w:w="1777"/>
        <w:gridCol w:w="75"/>
        <w:gridCol w:w="1722"/>
        <w:gridCol w:w="1344"/>
        <w:gridCol w:w="3142"/>
        <w:gridCol w:w="2050"/>
      </w:tblGrid>
      <w:tr w:rsidR="00A32DB9" w:rsidRPr="00A32DB9" w:rsidTr="00D55C65">
        <w:trPr>
          <w:trHeight w:val="1170"/>
        </w:trPr>
        <w:tc>
          <w:tcPr>
            <w:tcW w:w="1852" w:type="dxa"/>
            <w:gridSpan w:val="2"/>
            <w:tcBorders>
              <w:bottom w:val="single" w:sz="4" w:space="0" w:color="auto"/>
            </w:tcBorders>
          </w:tcPr>
          <w:p w:rsidR="00A32DB9" w:rsidRPr="00A32DB9" w:rsidRDefault="00A32DB9" w:rsidP="00A32DB9">
            <w:pPr>
              <w:jc w:val="center"/>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DNA-binding IDP Protein, PONDR</w:t>
            </w:r>
            <w:r w:rsidRPr="00A32DB9">
              <w:rPr>
                <w:rFonts w:ascii="Times New Roman" w:eastAsia="Calibri" w:hAnsi="Times New Roman" w:cs="Times New Roman"/>
                <w:b/>
                <w:sz w:val="24"/>
                <w:szCs w:val="24"/>
                <w:vertAlign w:val="superscript"/>
                <w:lang w:val="en-US"/>
              </w:rPr>
              <w:t>®</w:t>
            </w:r>
            <w:r w:rsidRPr="00A32DB9">
              <w:rPr>
                <w:rFonts w:ascii="Times New Roman" w:eastAsia="Calibri" w:hAnsi="Times New Roman" w:cs="Times New Roman"/>
                <w:b/>
                <w:sz w:val="24"/>
                <w:szCs w:val="24"/>
                <w:lang w:val="en-US"/>
              </w:rPr>
              <w:t xml:space="preserve"> VSL2 mean disorder score and % IDR</w:t>
            </w:r>
          </w:p>
        </w:tc>
        <w:tc>
          <w:tcPr>
            <w:tcW w:w="1722" w:type="dxa"/>
            <w:tcBorders>
              <w:bottom w:val="single" w:sz="4" w:space="0" w:color="auto"/>
            </w:tcBorders>
          </w:tcPr>
          <w:p w:rsidR="00A32DB9" w:rsidRPr="00A32DB9" w:rsidRDefault="00A32DB9" w:rsidP="00A32DB9">
            <w:pPr>
              <w:jc w:val="center"/>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Molecular function</w:t>
            </w:r>
          </w:p>
        </w:tc>
        <w:tc>
          <w:tcPr>
            <w:tcW w:w="1344" w:type="dxa"/>
            <w:tcBorders>
              <w:bottom w:val="single" w:sz="4" w:space="0" w:color="auto"/>
            </w:tcBorders>
          </w:tcPr>
          <w:p w:rsidR="00A32DB9" w:rsidRPr="00A32DB9" w:rsidRDefault="00A32DB9" w:rsidP="00A32DB9">
            <w:pPr>
              <w:jc w:val="center"/>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 xml:space="preserve">Molecular weight, </w:t>
            </w:r>
            <w:proofErr w:type="spellStart"/>
            <w:r w:rsidRPr="00A32DB9">
              <w:rPr>
                <w:rFonts w:ascii="Times New Roman" w:eastAsia="Calibri" w:hAnsi="Times New Roman" w:cs="Times New Roman"/>
                <w:b/>
                <w:sz w:val="24"/>
                <w:szCs w:val="24"/>
                <w:lang w:val="en-US"/>
              </w:rPr>
              <w:t>kDa</w:t>
            </w:r>
            <w:proofErr w:type="spellEnd"/>
            <w:r w:rsidRPr="00A32DB9">
              <w:rPr>
                <w:rFonts w:ascii="Times New Roman" w:eastAsia="Calibri" w:hAnsi="Times New Roman" w:cs="Times New Roman"/>
                <w:b/>
                <w:sz w:val="24"/>
                <w:szCs w:val="24"/>
                <w:lang w:val="en-US"/>
              </w:rPr>
              <w:t xml:space="preserve"> (</w:t>
            </w:r>
            <w:proofErr w:type="spellStart"/>
            <w:r w:rsidRPr="00A32DB9">
              <w:rPr>
                <w:rFonts w:ascii="Times New Roman" w:eastAsia="Calibri" w:hAnsi="Times New Roman" w:cs="Times New Roman"/>
                <w:b/>
                <w:sz w:val="24"/>
                <w:szCs w:val="24"/>
                <w:lang w:val="en-US"/>
              </w:rPr>
              <w:t>a.a</w:t>
            </w:r>
            <w:proofErr w:type="spellEnd"/>
            <w:r w:rsidRPr="00A32DB9">
              <w:rPr>
                <w:rFonts w:ascii="Times New Roman" w:eastAsia="Calibri" w:hAnsi="Times New Roman" w:cs="Times New Roman"/>
                <w:b/>
                <w:sz w:val="24"/>
                <w:szCs w:val="24"/>
                <w:lang w:val="en-US"/>
              </w:rPr>
              <w:t>. residues)</w:t>
            </w:r>
          </w:p>
        </w:tc>
        <w:tc>
          <w:tcPr>
            <w:tcW w:w="3142" w:type="dxa"/>
            <w:tcBorders>
              <w:bottom w:val="single" w:sz="4" w:space="0" w:color="auto"/>
            </w:tcBorders>
          </w:tcPr>
          <w:p w:rsidR="00A32DB9" w:rsidRPr="00A32DB9" w:rsidRDefault="00A32DB9" w:rsidP="00A32DB9">
            <w:pPr>
              <w:jc w:val="center"/>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DNA-binding properties</w:t>
            </w:r>
          </w:p>
        </w:tc>
        <w:tc>
          <w:tcPr>
            <w:tcW w:w="2050" w:type="dxa"/>
            <w:tcBorders>
              <w:bottom w:val="single" w:sz="4" w:space="0" w:color="auto"/>
            </w:tcBorders>
          </w:tcPr>
          <w:p w:rsidR="00A32DB9" w:rsidRPr="00A32DB9" w:rsidRDefault="00A32DB9" w:rsidP="00A32DB9">
            <w:pPr>
              <w:jc w:val="center"/>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Examples of biological processes</w:t>
            </w:r>
          </w:p>
        </w:tc>
      </w:tr>
      <w:tr w:rsidR="00A32DB9" w:rsidRPr="00A32DB9" w:rsidTr="00D55C65">
        <w:trPr>
          <w:trHeight w:val="427"/>
        </w:trPr>
        <w:tc>
          <w:tcPr>
            <w:tcW w:w="10110" w:type="dxa"/>
            <w:gridSpan w:val="6"/>
            <w:shd w:val="clear" w:color="auto" w:fill="92D050"/>
          </w:tcPr>
          <w:p w:rsidR="00A32DB9" w:rsidRPr="00A32DB9" w:rsidRDefault="00A32DB9" w:rsidP="00A32DB9">
            <w:pPr>
              <w:jc w:val="center"/>
              <w:rPr>
                <w:rFonts w:ascii="Times New Roman" w:eastAsia="Calibri" w:hAnsi="Times New Roman" w:cs="Times New Roman"/>
                <w:b/>
                <w:sz w:val="24"/>
                <w:szCs w:val="24"/>
                <w:lang w:val="en-US"/>
              </w:rPr>
            </w:pPr>
          </w:p>
          <w:p w:rsidR="00A32DB9" w:rsidRPr="00A32DB9" w:rsidRDefault="00A32DB9" w:rsidP="00A32DB9">
            <w:pPr>
              <w:jc w:val="center"/>
              <w:rPr>
                <w:rFonts w:ascii="Times New Roman" w:eastAsia="Calibri" w:hAnsi="Times New Roman" w:cs="Times New Roman"/>
                <w:b/>
                <w:sz w:val="24"/>
                <w:szCs w:val="24"/>
              </w:rPr>
            </w:pPr>
            <w:r w:rsidRPr="00A32DB9">
              <w:rPr>
                <w:rFonts w:ascii="Times New Roman" w:eastAsia="Calibri" w:hAnsi="Times New Roman" w:cs="Times New Roman"/>
                <w:b/>
                <w:sz w:val="24"/>
                <w:szCs w:val="24"/>
                <w:lang w:val="en-US"/>
              </w:rPr>
              <w:t>Transcriptional regulation (leading function</w:t>
            </w:r>
            <w:r w:rsidRPr="00A32DB9">
              <w:rPr>
                <w:rFonts w:ascii="Times New Roman" w:eastAsia="Calibri" w:hAnsi="Times New Roman" w:cs="Times New Roman"/>
                <w:b/>
                <w:sz w:val="24"/>
                <w:szCs w:val="24"/>
              </w:rPr>
              <w:t>)</w:t>
            </w:r>
          </w:p>
          <w:p w:rsidR="00A32DB9" w:rsidRPr="00A32DB9" w:rsidRDefault="00A32DB9" w:rsidP="00A32DB9">
            <w:pPr>
              <w:jc w:val="center"/>
              <w:rPr>
                <w:rFonts w:ascii="Times New Roman" w:eastAsia="Calibri" w:hAnsi="Times New Roman" w:cs="Times New Roman"/>
                <w:b/>
                <w:sz w:val="24"/>
                <w:szCs w:val="24"/>
                <w:lang w:val="en-US"/>
              </w:rPr>
            </w:pPr>
          </w:p>
        </w:tc>
      </w:tr>
      <w:tr w:rsidR="00A32DB9" w:rsidRPr="00341FF8" w:rsidTr="00D55C65">
        <w:trPr>
          <w:trHeight w:val="1750"/>
        </w:trPr>
        <w:tc>
          <w:tcPr>
            <w:tcW w:w="1777" w:type="dxa"/>
          </w:tcPr>
          <w:p w:rsidR="00A32DB9" w:rsidRPr="00A32DB9" w:rsidRDefault="00A32DB9" w:rsidP="00A32DB9">
            <w:pPr>
              <w:jc w:val="both"/>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NUPR1</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(Nuclear protein 1)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{"citationItems":[{"id":"ITEM-1","itemData":{"DOI":"10.1016/j.bbapap.2019.07.005","ISSN":"18781454","PMID":"31325636","abstract":"Intrinsically disordered proteins (IDPs) explore diverse conformations in their free states and, a few of them, also in their molecular complexes. This functional plasticity is essential for the function of IDPs, although their dynamics in both free and bound states is poorly understood. NUPR1 is a protumoral multifunctional IDP, activated during the acute phases of pancreatitis. It interacts with DNA and other IDPs, such as prothymosin α (ProTα), with dissociation constants of ~0.5 μM, and a 1:1 stoichiometry. We studied the structure and picosecond-to-nanosecond (ps-ns) dynamics by using both NMR and SAXS in: (i) isolated NUPR1; (ii) the NUPR1/ProTα complex; and (iii) the NUPR1/double stranded (ds) GGGCGCGCCC complex. Our SAXS findings show that NUPR1 remained disordered when bound to either partner, adopting a worm-like conformation; the fuzziness of bound NUPR1 was also pinpointed by NMR. Residues with the largest values of the relaxation rates (R1, R1ρ, R2 and ηxy), in the free and bound species, were mainly clustered around the 30s region of the sequence, which agree with one of the protein hot-spots already identified by site-directed mutagenesis. Not only residues in this region had larger relaxation rates, but they also moved slower than the rest of the molecule, as indicated by the reduced spectral density approach (RSDA). Upon binding, the energy landscape of NUPR1 was not funneled down to a specific, well-folded conformation, but rather its backbone flexibility was kept, with distinct motions occurring at the hot-spot region.","author":[{"dropping-particle":"","family":"Neira","given":"José L.","non-dropping-particle":"","parse-names":false,"suffix":""},{"dropping-particle":"","family":"Palomino-Schätzlein","given":"Martina","non-dropping-particle":"","parse-names":false,"suffix":""},{"dropping-particle":"","family":"Ricci","given":"Caterina","non-dropping-particle":"","parse-names":false,"suffix":""},{"dropping-particle":"","family":"Ortore","given":"Maria Grazia","non-dropping-particle":"","parse-names":false,"suffix":""},{"dropping-particle":"","family":"Rizzuti","given":"B.","non-dropping-particle":"","parse-names":false,"suffix":""},{"dropping-particle":"","family":"Iovanna","given":"Juan L.","non-dropping-particle":"","parse-names":false,"suffix":""}],"container-title":"Biochimica et Biophysica Acta - Proteins and Proteomics","id":"ITEM-1","issue":"11","issued":{"date-parts":[["2019"]]},"page":"140252","publisher":"Elsevier","title":"Dynamics of the intrinsically disordered protein NUPR1 in isolation and in its fuzzy complexes with DNA and prothymosin α","type":"article-journal","volume":"1867"},"uris":["http://www.mendeley.com/documents/?uuid=95b5e91e-524f-4f80-a128-e6227d0aa87b"]},{"id":"ITEM-2","itemData":{"DOI":"10.1007/s00894-014-2357-7","ISSN":"09485023","PMID":"25056123","abstract":"NUPR1, a small chromatin protein, plays a critical role in cancer development, progression, and resistance to therapy. Here, using a combination of structural bioinformatics and molecular modeling methods, we report several novel findings that enhance our understanding of the biochemical function of this protein. We find that NUPR1 has been conserved throughout evolution, and over time it has undergone duplications and transpositions to form other transcriptional regulators. Using threading, homology-based molecular modeling, molecular mechanics calculations, and molecular dynamics simulations, we generated structural models for four of these proteins: NUPR1a, NUPR1b, NUPR2, and the NUPR-like domain of GTF2-I. Comparative analyses of these models combined with extensive linear motif identification reveal that these four proteins, though similar in their propensities for folding, differ in size, surface changes, and sites amenable for posttranslational modification. Lastly, taking NUPR1a as the paradigm for this family, we built models of a NUPR-DNA complex. Additional structural comparisons revealed that NUPR1 defines a new family of small-groovebinding proteins that share structural features with, yet are distinct from, helix-loop-helix AT-hook-containing HMGproteins. These models and inferences should lead to a better understanding of the function of this group of chromatin proteins, which play a critical role in the development of human malignant diseases. © The Author(s) 2014.","author":[{"dropping-particle":"","family":"Urrutia","given":"Raul","non-dropping-particle":"","parse-names":false,"suffix":""},{"dropping-particle":"","family":"Velez","given":"Gabriel","non-dropping-particle":"","parse-names":false,"suffix":""},{"dropping-particle":"","family":"Lin","given":"Marisa","non-dropping-particle":"","parse-names":false,"suffix":""},{"dropping-particle":"","family":"Lomberk","given":"Gwen","non-dropping-particle":"","parse-names":false,"suffix":""},{"dropping-particle":"","family":"Neira","given":"Jose Luis","non-dropping-particle":"","parse-names":false,"suffix":""},{"dropping-particle":"","family":"Iovanna","given":"Juan","non-dropping-particle":"","parse-names":false,"suffix":""}],"container-title":"Journal of Molecular Modeling","id":"ITEM-2","issue":"8","issued":{"date-parts":[["2014"]]},"title":"Evidence supporting the existence of a NUPR1-like family of helix-loop-helix chromatin proteins related to, yet distinct from, AT hook-containing HMG proteins","type":"article-journal","volume":"20"},"uris":["http://www.mendeley.com/documents/?uuid=866f14ce-141c-4052-aed8-faf6bd24a8cd","http://www.mendeley.com/documents/?uuid=f49aa8b0-a2ac-4c11-96f2-c3422dd56fc3"]}],"mendeley":{"formattedCitation":"&lt;sup&gt;8,9&lt;/sup&gt;","plainTextFormattedCitation":"8,9","previouslyFormattedCitation":"&lt;sup&gt;8,9&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8,9</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0.9422</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100%</w:t>
            </w:r>
          </w:p>
        </w:tc>
        <w:tc>
          <w:tcPr>
            <w:tcW w:w="1797" w:type="dxa"/>
            <w:gridSpan w:val="2"/>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Transcriptional regulation, antioxidant response</w:t>
            </w:r>
          </w:p>
        </w:tc>
        <w:tc>
          <w:tcPr>
            <w:tcW w:w="1344"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8.873 (82)</w:t>
            </w:r>
          </w:p>
        </w:tc>
        <w:tc>
          <w:tcPr>
            <w:tcW w:w="3142"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Forms fuzzy complex.</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Non-specific binding DNA, mainly to the small-groove of DNA. Partial homology and similarity of biochemical properties to High Mobility Group proteins (HMG).  Helix-loop-helix AT-hook-containing HMG proteins. Tendency to order to disorder transitions.</w:t>
            </w: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Stress response and resistance, antioxidant response, cell-cycle, DNA repair, apoptosis, cancer resistance, response to </w:t>
            </w:r>
            <w:proofErr w:type="spellStart"/>
            <w:r w:rsidRPr="00A32DB9">
              <w:rPr>
                <w:rFonts w:ascii="Times New Roman" w:eastAsia="Calibri" w:hAnsi="Times New Roman" w:cs="Times New Roman"/>
                <w:sz w:val="24"/>
                <w:szCs w:val="24"/>
                <w:lang w:val="en-US"/>
              </w:rPr>
              <w:t>genotoxic</w:t>
            </w:r>
            <w:proofErr w:type="spellEnd"/>
            <w:r w:rsidRPr="00A32DB9">
              <w:rPr>
                <w:rFonts w:ascii="Times New Roman" w:eastAsia="Calibri" w:hAnsi="Times New Roman" w:cs="Times New Roman"/>
                <w:sz w:val="24"/>
                <w:szCs w:val="24"/>
                <w:lang w:val="en-US"/>
              </w:rPr>
              <w:t xml:space="preserve"> stress</w:t>
            </w:r>
          </w:p>
        </w:tc>
      </w:tr>
      <w:tr w:rsidR="00A32DB9" w:rsidRPr="00341FF8" w:rsidTr="00D55C65">
        <w:trPr>
          <w:trHeight w:val="295"/>
        </w:trPr>
        <w:tc>
          <w:tcPr>
            <w:tcW w:w="1777"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HMGN</w:t>
            </w:r>
            <w:r w:rsidRPr="00A32DB9">
              <w:rPr>
                <w:rFonts w:ascii="Times New Roman" w:eastAsia="Calibri" w:hAnsi="Times New Roman" w:cs="Times New Roman"/>
                <w:sz w:val="24"/>
                <w:szCs w:val="24"/>
                <w:lang w:val="en-US"/>
              </w:rPr>
              <w:t xml:space="preserve"> proteins</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{"citationItems":[{"id":"ITEM-1","itemData":{"DOI":"10.3390/ijms21020449","ISSN":"14220067","PMID":"31936777","abstract":"Chromatin plays a key role in regulating gene expression programs necessary for the orderly progress of development and for preventing changes in cell identity that can lead to disease. The high mobility group N (HMGN) is a family of nucleosome binding proteins that preferentially binds to chromatin regulatory sites including enhancers and promoters. HMGN proteins are ubiquitously expressed in all vertebrate cells potentially affecting chromatin function and epigenetic regulation in multiple cell types. Here, we review studies aimed at elucidating the biological function of HMGN proteins, focusing on their possible role in vertebrate development and the etiology of disease. The data indicate that changes in HMGN levels lead to cell type‐specific phenotypes, suggesting that HMGN optimize epigenetic processes necessary for maintaining cell identity and for proper execution of specific cellular functions. This manuscript contains tables that can be used as a comprehensive resource for all the English written manuscripts describing research aimed at elucidating the biological function of the HMGN protein family.","author":[{"dropping-particle":"","family":"Nanduri","given":"Ravikanth","non-dropping-particle":"","parse-names":false,"suffix":""},{"dropping-particle":"","family":"Furusawa","given":"Takashi","non-dropping-particle":"","parse-names":false,"suffix":""},{"dropping-particle":"","family":"Bustin","given":"Michael","non-dropping-particle":"","parse-names":false,"suffix":""}],"container-title":"International Journal of Molecular Sciences","id":"ITEM-1","issue":"2","issued":{"date-parts":[["2020"]]},"page":"1-27","title":"Biological functions of HMGN chromosomal proteins","type":"article-journal","volume":"21"},"uris":["http://www.mendeley.com/documents/?uuid=df0e6f97-0b30-437d-8cf9-fa3fe25ac1c3"]},{"id":"ITEM-2","itemData":{"DOI":"10.1093/nar/gkq1343","ISSN":"03051048","PMID":"21278158","abstract":"High mobility group N (HMGN) is a family of intrinsically disordered nuclear proteins that bind to nucleosomes, alters the structure of chromatin and affects transcription. A major unresolved question is the extent of functional specificity, or redundancy, between the various members of the HMGN protein family. Here, we analyze the transcriptional profile of cells in which the expression of various HMGN proteins has been either deleted or doubled. We find that both up-and downregulation of HMGN expression altered the cellular transcription profile. Most, but not all of the changes were variant specific, suggesting limited redundancy in transcriptional regulation. Analysis of point and swap HMGN mutants revealed that the transcriptional specificity is determined by a unique combination of a functional nucleosome-binding domain and C-terminal domain. Doubling the amount of HMGN had a significantly larger effect on the transcription profile than total deletion, suggesting that the intrinsically disordered structure of HMGN proteins plays an important role in their function. The results reveal an HMGN-variant-specific effect on the fidelity of the cellular transcription profile, indicating that functionally the various HMGN subtypes are not fully redundant. © 2011 The Author(s).","author":[{"dropping-particle":"","family":"Rochman","given":"Mark","non-dropping-particle":"","parse-names":false,"suffix":""},{"dropping-particle":"","family":"Taher","given":"Leila","non-dropping-particle":"","parse-names":false,"suffix":""},{"dropping-particle":"","family":"Kurahashi","given":"Toshihiro","non-dropping-particle":"","parse-names":false,"suffix":""},{"dropping-particle":"","family":"Cherukuri","given":"Srujana","non-dropping-particle":"","parse-names":false,"suffix":""},{"dropping-particle":"","family":"Uversky","given":"Vladimir N.","non-dropping-particle":"","parse-names":false,"suffix":""},{"dropping-particle":"","family":"Landsman","given":"David","non-dropping-particle":"","parse-names":false,"suffix":""},{"dropping-particle":"","family":"Ovcharenko","given":"Ivan","non-dropping-particle":"","parse-names":false,"suffix":""},{"dropping-particle":"","family":"Bustin","given":"Michael","non-dropping-particle":"","parse-names":false,"suffix":""}],"container-title":"Nucleic Acids Research","id":"ITEM-2","issue":"10","issued":{"date-parts":[["2011"]]},"page":"4076-4082","title":"Effects of HMGN variants on the cellular transcription profile","type":"article-journal","volume":"39"},"uris":["http://www.mendeley.com/documents/?uuid=2065d53a-0be5-4bca-b95e-bc64843bf40a"]}],"mendeley":{"formattedCitation":"&lt;sup&gt;10,11&lt;/sup&gt;","plainTextFormattedCitation":"10,11","previouslyFormattedCitation":"&lt;sup&gt;10,11&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10,11</w:t>
            </w:r>
            <w:r w:rsidRPr="00A32DB9">
              <w:rPr>
                <w:rFonts w:ascii="Times New Roman" w:eastAsia="Calibri" w:hAnsi="Times New Roman" w:cs="Times New Roman"/>
                <w:sz w:val="24"/>
                <w:szCs w:val="24"/>
                <w:lang w:val="en-US"/>
              </w:rPr>
              <w:fldChar w:fldCharType="end"/>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0.9193</w:t>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100%</w:t>
            </w:r>
          </w:p>
        </w:tc>
        <w:tc>
          <w:tcPr>
            <w:tcW w:w="1797" w:type="dxa"/>
            <w:gridSpan w:val="2"/>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Transcriptional regulation, non-histone chromatin architectural protein</w:t>
            </w:r>
          </w:p>
        </w:tc>
        <w:tc>
          <w:tcPr>
            <w:tcW w:w="1344"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10.659 (100)</w:t>
            </w:r>
          </w:p>
        </w:tc>
        <w:tc>
          <w:tcPr>
            <w:tcW w:w="3142"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Non-specific DNA-binding IDPs. </w:t>
            </w:r>
            <w:proofErr w:type="spellStart"/>
            <w:r w:rsidRPr="00A32DB9">
              <w:rPr>
                <w:rFonts w:ascii="Times New Roman" w:eastAsia="Calibri" w:hAnsi="Times New Roman" w:cs="Times New Roman"/>
                <w:sz w:val="24"/>
                <w:szCs w:val="24"/>
                <w:lang w:val="en-US"/>
              </w:rPr>
              <w:t>Nuclesome</w:t>
            </w:r>
            <w:proofErr w:type="spellEnd"/>
            <w:r w:rsidRPr="00A32DB9">
              <w:rPr>
                <w:rFonts w:ascii="Times New Roman" w:eastAsia="Calibri" w:hAnsi="Times New Roman" w:cs="Times New Roman"/>
                <w:sz w:val="24"/>
                <w:szCs w:val="24"/>
                <w:lang w:val="en-US"/>
              </w:rPr>
              <w:t>-binding protein Genome-wide HMGNs preferentially localize to chromatin regulatory sites. HMGN –reduces chromatin compaction. High tendency to undergo order-to-disorder transitions.</w:t>
            </w:r>
          </w:p>
        </w:tc>
        <w:tc>
          <w:tcPr>
            <w:tcW w:w="2050"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Modulate chromatin remodeling, DNA repair, regulation of histone posttranslational modifications (PTMs) and maintenance of cell identity</w:t>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Interactions with histone proteins. Affects stress-response</w:t>
            </w:r>
          </w:p>
        </w:tc>
      </w:tr>
      <w:tr w:rsidR="00A32DB9" w:rsidRPr="00341FF8" w:rsidTr="00D55C65">
        <w:trPr>
          <w:trHeight w:val="274"/>
        </w:trPr>
        <w:tc>
          <w:tcPr>
            <w:tcW w:w="1777" w:type="dxa"/>
          </w:tcPr>
          <w:p w:rsidR="00A32DB9" w:rsidRPr="00A32DB9" w:rsidRDefault="00A32DB9" w:rsidP="00A32DB9">
            <w:pPr>
              <w:spacing w:after="200" w:line="276" w:lineRule="auto"/>
              <w:rPr>
                <w:rFonts w:ascii="Times New Roman" w:eastAsia="Calibri" w:hAnsi="Times New Roman" w:cs="Times New Roman"/>
                <w:bCs/>
                <w:sz w:val="24"/>
                <w:szCs w:val="24"/>
                <w:lang w:val="en-US"/>
              </w:rPr>
            </w:pPr>
            <w:r w:rsidRPr="00A32DB9">
              <w:rPr>
                <w:rFonts w:ascii="Times New Roman" w:eastAsia="Calibri" w:hAnsi="Times New Roman" w:cs="Times New Roman"/>
                <w:b/>
                <w:sz w:val="24"/>
                <w:szCs w:val="24"/>
                <w:lang w:val="en-US"/>
              </w:rPr>
              <w:t xml:space="preserve">p53 </w:t>
            </w:r>
            <w:r w:rsidRPr="00A32DB9">
              <w:rPr>
                <w:rFonts w:ascii="Times New Roman" w:eastAsia="Calibri" w:hAnsi="Times New Roman" w:cs="Times New Roman"/>
                <w:b/>
                <w:sz w:val="24"/>
                <w:szCs w:val="24"/>
                <w:lang w:val="en-US"/>
              </w:rPr>
              <w:fldChar w:fldCharType="begin" w:fldLock="1"/>
            </w:r>
            <w:r>
              <w:rPr>
                <w:rFonts w:ascii="Times New Roman" w:eastAsia="Calibri" w:hAnsi="Times New Roman" w:cs="Times New Roman"/>
                <w:b/>
                <w:sz w:val="24"/>
                <w:szCs w:val="24"/>
                <w:lang w:val="en-US"/>
              </w:rPr>
              <w:instrText>ADDIN CSL_CITATION {"citationItems":[{"id":"ITEM-1","itemData":{"DOI":"10.1073/pnas.0801353105","ISSN":"00278424","PMID":"18391200","abstract":"Proteins with intrinsically disordered domains are implicated in a vast range of biological processes, especially in cell signaling and regulation. Having solved the quaternary structure of the folded domains in the tumor suppressor p53 by a multidisciplinary approach, we have now determined the average ensemble structure of the intrinsically disordered N-terminal transactivation domain (TAD) by using residual dipolar couplings (RDCs) from NMR spectroscopy and small-angle x-ray scattering (SAXS). Remarkably, not only were we able to measure RDCs of the isolated TAD, but we were also able to do so for the TAD in both the full-length tetrameric p53 protein and in its complex with a specific DNA response element. We determined the orientation of the TAD ensemble relative to the core domain, found that the TAD was stiffer in the proline-rich region (residues 64-92), which has a tendency to adopt a polyproline II (PPII) structure, and projected the TAD away from the core. We located the TAD in SAXS experiments on a complex between tetrameric p53 and four Taz2 domains that bind tightly to the TAD (residues 1-57) and acted as \"reporters.\" The p53-Taz2 complex was an extended cross-shaped structure. The quality of the SAXS data enabled us to model the disordered termini and the folded domains in the complex with DNA. The core domains enveloped the response element in the center of the molecule, with the Taz2-bound TADs projecting outward from the core. © 2008 by The National Academy of Sciences of the USA.","author":[{"dropping-particle":"","family":"Wells","given":"Mark","non-dropping-particle":"","parse-names":false,"suffix":""},{"dropping-particle":"","family":"Tidow","given":"Henning","non-dropping-particle":"","parse-names":false,"suffix":""},{"dropping-particle":"","family":"Rutherford","given":"Trevor J.","non-dropping-particle":"","parse-names":false,"suffix":""},{"dropping-particle":"","family":"Markwick","given":"Phineus","non-dropping-particle":"","parse-names":false,"suffix":""},{"dropping-particle":"","family":"Jensen","given":"Malene Ringkjobing","non-dropping-particle":"","parse-names":false,"suffix":""},{"dropping-particle":"","family":"Mylonas","given":"Efstratios","non-dropping-particle":"","parse-names":false,"suffix":""},{"dropping-particle":"","family":"Svergun","given":"Dmitri I.","non-dropping-particle":"","parse-names":false,"suffix":""},{"dropping-particle":"","family":"Blackledge","given":"Martin","non-dropping-particle":"","parse-names":false,"suffix":""},{"dropping-particle":"","family":"Fersht","given":"Alan R.","non-dropping-particle":"","parse-names":false,"suffix":""}],"container-title":"Proceedings of the National Academy of Sciences of the United States of America","id":"ITEM-1","issue":"15","issued":{"date-parts":[["2008"]]},"page":"5762-5767","title":"Structure of tumor suppressor p53 and its intrinsically disordered N-terminal transactivation domain","type":"article-journal","volume":"105"},"uris":["http://www.mendeley.com/documents/?uuid=e33df1fb-e1f2-4ffe-849d-1ab8741dfa22","http://www.mendeley.com/documents/?uuid=e89289d4-7af6-4c8f-a550-04af07fb0295"]},{"id":"ITEM-2","itemData":{"DOI":"10.1073/pnas.0705069104","ISSN":"00278424","PMID":"17620598","abstract":"The homotetrameric tumor suppressor p53 consists of folded core and tetramerization domains, linked and flanked by intrinsically disordered segments that impede structure analysis by x-ray crystallography and NMR. Here, we solved the quaternary structure of human p53 in solution by a combination of small-angle x-ray scattering, which defined its shape, and NMR, which identified the core domain interfaces and showed that the folded domains had the same structure in the intact protein as in fragments. We combined the solution data with electron microscopy on immobilized samples that provided medium resolution 3D maps. Ab initio and rigid body modeling of scattering data revealed an elongated cross-shaped structure with a pair of loosely coupled core domain dimers at the ends, which are accessible for binding to DNA and partner proteins. The core domains in that open conformation closed around a specific DNA response element to form a compact complex whose structure was independently determined by electron microscopy. The structure of the DNA complex is consistent with that of the complex of four separate core domains and response element fragments solved by x-ray crystallography and contacts identified by NMR. Electron microscopy on the conformationally mobile, unbound p53 selected a minor compact conformation, which resembled the closed conformation, from the ensemble of predominantly open conformations. A multipronged structural approach could be generally useful for the structural characterization of the rapidly growing number of multidomain proteins with intrinsically disordered regions. © 2007 by The National Academy of Sciences of the USA.","author":[{"dropping-particle":"","family":"Tidow","given":"Henning","non-dropping-particle":"","parse-names":false,"suffix":""},{"dropping-particle":"","family":"Melero","given":"Roberto","non-dropping-particle":"","parse-names":false,"suffix":""},{"dropping-particle":"","family":"Mylonas","given":"Efstratios","non-dropping-particle":"","parse-names":false,"suffix":""},{"dropping-particle":"","family":"Freund","given":"Stefan M.V.","non-dropping-particle":"","parse-names":false,"suffix":""},{"dropping-particle":"","family":"Grossmann","given":"J. Guenter","non-dropping-particle":"","parse-names":false,"suffix":""},{"dropping-particle":"","family":"Carazo","given":"José María","non-dropping-particle":"","parse-names":false,"suffix":""},{"dropping-particle":"","family":"Svergun","given":"Dmitri I.","non-dropping-particle":"","parse-names":false,"suffix":""},{"dropping-particle":"","family":"Valle","given":"Mikel","non-dropping-particle":"","parse-names":false,"suffix":""},{"dropping-particle":"","family":"Fersht","given":"Alan R.","non-dropping-particle":"","parse-names":false,"suffix":""}],"container-title":"Proceedings of the National Academy of Sciences of the United States of America","id":"ITEM-2","issue":"30","issued":{"date-parts":[["2007"]]},"page":"12324-12329","title":"Quaternary structures of tumor suppressor p53 and a specific p53-DNA complex","type":"article-journal","volume":"104"},"uris":["http://www.mendeley.com/documents/?uuid=30de2ac1-fd54-4af4-b3e2-1656c51db2e9"]}],"mendeley":{"formattedCitation":"&lt;sup&gt;12,13&lt;/sup&gt;","plainTextFormattedCitation":"12,13","previouslyFormattedCitation":"&lt;sup&gt;12,13&lt;/sup&gt;"},"properties":{"noteIndex":0},"schema":"https://github.com/citation-style-language/schema/raw/master/csl-citation.json"}</w:instrText>
            </w:r>
            <w:r w:rsidRPr="00A32DB9">
              <w:rPr>
                <w:rFonts w:ascii="Times New Roman" w:eastAsia="Calibri" w:hAnsi="Times New Roman" w:cs="Times New Roman"/>
                <w:b/>
                <w:sz w:val="24"/>
                <w:szCs w:val="24"/>
                <w:lang w:val="en-US"/>
              </w:rPr>
              <w:fldChar w:fldCharType="separate"/>
            </w:r>
            <w:r w:rsidRPr="00A32DB9">
              <w:rPr>
                <w:rFonts w:ascii="Times New Roman" w:eastAsia="Calibri" w:hAnsi="Times New Roman" w:cs="Times New Roman"/>
                <w:noProof/>
                <w:sz w:val="24"/>
                <w:szCs w:val="24"/>
                <w:vertAlign w:val="superscript"/>
                <w:lang w:val="en-US"/>
              </w:rPr>
              <w:t>12,13</w:t>
            </w:r>
            <w:r w:rsidRPr="00A32DB9">
              <w:rPr>
                <w:rFonts w:ascii="Times New Roman" w:eastAsia="Calibri" w:hAnsi="Times New Roman" w:cs="Times New Roman"/>
                <w:b/>
                <w:sz w:val="24"/>
                <w:szCs w:val="24"/>
                <w:lang w:val="en-US"/>
              </w:rPr>
              <w:fldChar w:fldCharType="end"/>
            </w:r>
          </w:p>
          <w:p w:rsidR="00A32DB9" w:rsidRPr="00A32DB9" w:rsidRDefault="00A32DB9" w:rsidP="00A32DB9">
            <w:pPr>
              <w:rPr>
                <w:rFonts w:ascii="Times New Roman" w:eastAsia="Calibri" w:hAnsi="Times New Roman" w:cs="Times New Roman"/>
                <w:bCs/>
                <w:sz w:val="24"/>
                <w:szCs w:val="24"/>
                <w:lang w:val="en-US"/>
              </w:rPr>
            </w:pPr>
            <w:r w:rsidRPr="00A32DB9">
              <w:rPr>
                <w:rFonts w:ascii="Times New Roman" w:eastAsia="Calibri" w:hAnsi="Times New Roman" w:cs="Times New Roman"/>
                <w:bCs/>
                <w:sz w:val="24"/>
                <w:szCs w:val="24"/>
                <w:lang w:val="en-US"/>
              </w:rPr>
              <w:t>0.6849</w:t>
            </w:r>
          </w:p>
          <w:p w:rsidR="00A32DB9" w:rsidRPr="00A32DB9" w:rsidRDefault="00A32DB9" w:rsidP="00A32DB9">
            <w:pPr>
              <w:rPr>
                <w:rFonts w:ascii="Times New Roman" w:eastAsia="Calibri" w:hAnsi="Times New Roman" w:cs="Times New Roman"/>
                <w:b/>
                <w:sz w:val="24"/>
                <w:szCs w:val="24"/>
                <w:lang w:val="en-US"/>
              </w:rPr>
            </w:pPr>
            <w:r w:rsidRPr="00A32DB9">
              <w:rPr>
                <w:rFonts w:ascii="Times New Roman" w:eastAsia="Calibri" w:hAnsi="Times New Roman" w:cs="Times New Roman"/>
                <w:bCs/>
                <w:sz w:val="24"/>
                <w:szCs w:val="24"/>
                <w:lang w:val="en-US"/>
              </w:rPr>
              <w:t>68.19%</w:t>
            </w:r>
          </w:p>
        </w:tc>
        <w:tc>
          <w:tcPr>
            <w:tcW w:w="1797" w:type="dxa"/>
            <w:gridSpan w:val="2"/>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Transcriptional regulation, maintaining the genome integrity, controlling apoptosis, cell-cycle regulation and arrest, DNA repair</w:t>
            </w:r>
          </w:p>
        </w:tc>
        <w:tc>
          <w:tcPr>
            <w:tcW w:w="1344"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43.7 (393)</w:t>
            </w:r>
          </w:p>
        </w:tc>
        <w:tc>
          <w:tcPr>
            <w:tcW w:w="3142" w:type="dxa"/>
          </w:tcPr>
          <w:p w:rsidR="00A32DB9" w:rsidRPr="00A32DB9" w:rsidRDefault="00A32DB9" w:rsidP="00A32DB9">
            <w:pPr>
              <w:rPr>
                <w:rFonts w:ascii="Times New Roman" w:eastAsia="Calibri" w:hAnsi="Times New Roman" w:cs="Times New Roman"/>
                <w:color w:val="0A0A0A"/>
                <w:sz w:val="24"/>
                <w:szCs w:val="24"/>
                <w:shd w:val="clear" w:color="auto" w:fill="FBFEFF"/>
              </w:rPr>
            </w:pPr>
            <w:r w:rsidRPr="00A32DB9">
              <w:rPr>
                <w:rFonts w:ascii="Times New Roman" w:eastAsia="Calibri" w:hAnsi="Times New Roman" w:cs="Times New Roman"/>
                <w:color w:val="0A0A0A"/>
                <w:sz w:val="24"/>
                <w:szCs w:val="24"/>
                <w:shd w:val="clear" w:color="auto" w:fill="FBFEFF"/>
              </w:rPr>
              <w:t xml:space="preserve">DNA-binding protein that forms </w:t>
            </w:r>
            <w:proofErr w:type="spellStart"/>
            <w:r w:rsidRPr="00A32DB9">
              <w:rPr>
                <w:rFonts w:ascii="Times New Roman" w:eastAsia="Calibri" w:hAnsi="Times New Roman" w:cs="Times New Roman"/>
                <w:color w:val="0A0A0A"/>
                <w:sz w:val="24"/>
                <w:szCs w:val="24"/>
                <w:shd w:val="clear" w:color="auto" w:fill="FBFEFF"/>
              </w:rPr>
              <w:t>homotetramer</w:t>
            </w:r>
            <w:proofErr w:type="spellEnd"/>
            <w:r w:rsidRPr="00A32DB9">
              <w:rPr>
                <w:rFonts w:ascii="Times New Roman" w:eastAsia="Calibri" w:hAnsi="Times New Roman" w:cs="Times New Roman"/>
                <w:color w:val="0A0A0A"/>
                <w:sz w:val="24"/>
                <w:szCs w:val="24"/>
                <w:shd w:val="clear" w:color="auto" w:fill="FBFEFF"/>
              </w:rPr>
              <w:t xml:space="preserve"> that recognizes specific response elements with DNA-binding core domain. The protein-DNA complex is compact</w:t>
            </w:r>
          </w:p>
        </w:tc>
        <w:tc>
          <w:tcPr>
            <w:tcW w:w="2050"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Acts as a tumor suppressor in many tumor types; induces growth arrest or apoptosis depending on the physiological circumstances and cell type</w:t>
            </w:r>
          </w:p>
        </w:tc>
      </w:tr>
      <w:tr w:rsidR="00A32DB9" w:rsidRPr="00341FF8" w:rsidTr="00D55C65">
        <w:trPr>
          <w:trHeight w:val="274"/>
        </w:trPr>
        <w:tc>
          <w:tcPr>
            <w:tcW w:w="1777"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MeCP2</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{"citationItems":[{"id":"ITEM-1","itemData":{"DOI":"10.1002/pro.2037","ISSN":"09618368","PMID":"22294343","abstract":"Methyl CpG binding protein 2 (MeCP2) is a canonical intrinsically disordered protein (IDP), that is, it lacks stable secondary structure throughout its entire polypeptide chain. Because IDPs often have the propensity to become locally ordered, we tested whether full-length MeCP2 and its constituent domains would gain secondary structure in 2,2,2-trifluoroethanol (TFE), a cosolvent that stabilizes intramolecular hydrogen bonding in proteins. The α-helix, β-strand/turn, and unstructured content were determined as a function of TFE concentration by deconvolution of circular dichroism data. Results indicate that approximately two-thirds of the unstructured residues present in full-length MeCP2 were converted to α-helix in 70% TFE without a change in β-strand/turn. Thus, much of the MeCP2 polypeptide chain undergoes coil-to-helix transitions under conditions that favor intrachain hydrogen bond formation. The unstructured residues of the N-terminal (NTD) and C-terminal (CTD) domains were partially converted to α-helix in 70% TFE. In contrast, the central transcription regulation domain (TRD) became almost completely α-helical in 70% TFE. Unlike the NTD, CTD, and TRD, the unstructured content of the methyl DNA binding domain and the intervening domain did not change with increasing TFE concentration. These results indicate that the coil-to-helix transitions that occur in full-length MeCP2 are localized to the NTD, CTD, and TRD, with the TRD showing the greatest tendency for helix formation. The potential relationships between intrinsic disorder, coil-to-helix transitions, and MeCP2 structure and function are discussed. Published by Wiley-Blackwell. © 2012 The Protein Society.","author":[{"dropping-particle":"","family":"Hite","given":"Kristopher C.","non-dropping-particle":"","parse-names":false,"suffix":""},{"dropping-particle":"","family":"Kalashnikova","given":"Anna A.","non-dropping-particle":"","parse-names":false,"suffix":""},{"dropping-particle":"","family":"Hansen","given":"Jeffrey C.","non-dropping-particle":"","parse-names":false,"suffix":""}],"container-title":"Protein Science","id":"ITEM-1","issue":"4","issued":{"date-parts":[["2012"]]},"page":"531-538","title":"Coil-to-helix transitions in intrinsically disordered methyl CpG binding protein 2 and its isolated domains","type":"article-journal","volume":"21"},"uris":["http://www.mendeley.com/documents/?uuid=7eccbb38-8309-40de-bf92-4a5b255aee2b","http://www.mendeley.com/documents/?uuid=4f1dfbce-a1bc-4a25-9b26-3067fa6fce8f"]},{"id":"ITEM-2","itemData":{"DOI":"10.1093/nar/gkr005","ISSN":"03051048","PMID":"21278419","abstract":"MeCP2 is a highly abundant chromatin architectural protein with key roles in post-natal brain development in humans. Mutations in MeCP2 are associated with Rett syndrome, the main cause of mental retardation in girls. Structural information on the intrinsically disordered MeCP2 protein is restricted to the methyl-CpG binding domain; however, at least four regions capable of DNA and chromatin binding are distributed over its entire length. Here we use small angle X-ray scattering (SAXS) and other solution-state approaches to investigate the interaction of MeCP2 and a truncated, disease-causing version of MeCP2 with nucleosomes. We demonstrate that MeCP2 forms defined complexes with nucleosomes, in which all four histones are present. MeCP2 retains an extended conformation when binding nucleosomes without extra-nucleosomal DNA. In contrast, nucleosomes with extra-nucleosomal DNA engage additional DNA binding sites in MeCP2, resulting in a rather compact higher-order complex. We present ab initio envelope reconstructions of nucleosomes and their complexes with MeCP2 from SAXS data. SAXS studies also revealed unexpected sequence-dependent conformational variability in the nucleosomes themselves. © 2011 The Author(s).","author":[{"dropping-particle":"","family":"Yang","given":"Chenghua","non-dropping-particle":"","parse-names":false,"suffix":""},{"dropping-particle":"","family":"Woerd","given":"Mark J.","non-dropping-particle":"Van Der","parse-names":false,"suffix":""},{"dropping-particle":"","family":"Muthurajan","given":"Uma M.","non-dropping-particle":"","parse-names":false,"suffix":""},{"dropping-particle":"","family":"Hansen","given":"Jeffrey C.","non-dropping-particle":"","parse-names":false,"suffix":""},{"dropping-particle":"","family":"Luger","given":"Karolin","non-dropping-particle":"","parse-names":false,"suffix":""}],"container-title":"Nucleic Acids Research","id":"ITEM-2","issue":"10","issued":{"date-parts":[["2011"]]},"page":"4122-4135","title":"Biophysical analysis and small-angle X-ray scattering-derived structures of MeCP2-nucleosome complexes","type":"article-journal","volume":"39"},"uris":["http://www.mendeley.com/documents/?uuid=a0cdedda-4b7f-41a6-b93e-b770e840c046","http://www.mendeley.com/documents/?uuid=567cc70b-aad5-4e21-91ab-9b83bb9040ab"]}],"mendeley":{"formattedCitation":"&lt;sup&gt;14,15&lt;/sup&gt;","plainTextFormattedCitation":"14,15","previouslyFormattedCitation":"&lt;sup&gt;14,15&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14,15</w:t>
            </w:r>
            <w:r w:rsidRPr="00A32DB9">
              <w:rPr>
                <w:rFonts w:ascii="Times New Roman" w:eastAsia="Calibri" w:hAnsi="Times New Roman" w:cs="Times New Roman"/>
                <w:sz w:val="24"/>
                <w:szCs w:val="24"/>
                <w:lang w:val="en-US"/>
              </w:rPr>
              <w:fldChar w:fldCharType="end"/>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0.8854</w:t>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lastRenderedPageBreak/>
              <w:t>93.42%</w:t>
            </w:r>
          </w:p>
        </w:tc>
        <w:tc>
          <w:tcPr>
            <w:tcW w:w="1797" w:type="dxa"/>
            <w:gridSpan w:val="2"/>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lastRenderedPageBreak/>
              <w:t xml:space="preserve">Transcriptional regulation, </w:t>
            </w:r>
            <w:r w:rsidRPr="00A32DB9">
              <w:rPr>
                <w:rFonts w:ascii="Times New Roman" w:eastAsia="Calibri" w:hAnsi="Times New Roman" w:cs="Times New Roman"/>
                <w:sz w:val="24"/>
                <w:szCs w:val="24"/>
                <w:lang w:val="en-US"/>
              </w:rPr>
              <w:lastRenderedPageBreak/>
              <w:t xml:space="preserve">architectural protein </w:t>
            </w:r>
          </w:p>
        </w:tc>
        <w:tc>
          <w:tcPr>
            <w:tcW w:w="1344"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lastRenderedPageBreak/>
              <w:t>52.4 (486)</w:t>
            </w:r>
          </w:p>
        </w:tc>
        <w:tc>
          <w:tcPr>
            <w:tcW w:w="3142"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color w:val="0A0A0A"/>
                <w:sz w:val="24"/>
                <w:szCs w:val="24"/>
                <w:shd w:val="clear" w:color="auto" w:fill="FBFEFF"/>
              </w:rPr>
              <w:t xml:space="preserve">Monomer with preferential binding to nucleosomes. </w:t>
            </w:r>
            <w:r w:rsidRPr="00A32DB9">
              <w:rPr>
                <w:rFonts w:ascii="Times New Roman" w:eastAsia="Calibri" w:hAnsi="Times New Roman" w:cs="Times New Roman"/>
                <w:color w:val="0A0A0A"/>
                <w:sz w:val="24"/>
                <w:szCs w:val="24"/>
                <w:shd w:val="clear" w:color="auto" w:fill="FBFEFF"/>
              </w:rPr>
              <w:lastRenderedPageBreak/>
              <w:t>Binds to methylated DNA, specifically to a single methyl-</w:t>
            </w:r>
            <w:proofErr w:type="spellStart"/>
            <w:r w:rsidRPr="00A32DB9">
              <w:rPr>
                <w:rFonts w:ascii="Times New Roman" w:eastAsia="Calibri" w:hAnsi="Times New Roman" w:cs="Times New Roman"/>
                <w:color w:val="0A0A0A"/>
                <w:sz w:val="24"/>
                <w:szCs w:val="24"/>
                <w:shd w:val="clear" w:color="auto" w:fill="FBFEFF"/>
              </w:rPr>
              <w:t>CpG</w:t>
            </w:r>
            <w:proofErr w:type="spellEnd"/>
            <w:r w:rsidRPr="00A32DB9">
              <w:rPr>
                <w:rFonts w:ascii="Times New Roman" w:eastAsia="Calibri" w:hAnsi="Times New Roman" w:cs="Times New Roman"/>
                <w:color w:val="0A0A0A"/>
                <w:sz w:val="24"/>
                <w:szCs w:val="24"/>
                <w:shd w:val="clear" w:color="auto" w:fill="FBFEFF"/>
              </w:rPr>
              <w:t xml:space="preserve"> pair. </w:t>
            </w:r>
            <w:r w:rsidRPr="00A32DB9">
              <w:rPr>
                <w:rFonts w:ascii="Times New Roman" w:eastAsia="Calibri" w:hAnsi="Times New Roman" w:cs="Times New Roman"/>
                <w:sz w:val="24"/>
                <w:szCs w:val="24"/>
                <w:lang w:val="en-US"/>
              </w:rPr>
              <w:t>Undergoes order-to-disorder transitions upon binding to DNA.</w:t>
            </w:r>
          </w:p>
        </w:tc>
        <w:tc>
          <w:tcPr>
            <w:tcW w:w="2050" w:type="dxa"/>
          </w:tcPr>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lastRenderedPageBreak/>
              <w:t xml:space="preserve">Mediates transcriptional </w:t>
            </w:r>
            <w:r w:rsidRPr="00A32DB9">
              <w:rPr>
                <w:rFonts w:ascii="Times New Roman" w:eastAsia="Calibri" w:hAnsi="Times New Roman" w:cs="Times New Roman"/>
                <w:sz w:val="24"/>
                <w:szCs w:val="24"/>
                <w:lang w:val="en-US"/>
              </w:rPr>
              <w:lastRenderedPageBreak/>
              <w:t>repression. Neural system regulation, brain development, neuro-developmental disease, autism spectrum disorders</w:t>
            </w:r>
          </w:p>
        </w:tc>
      </w:tr>
      <w:tr w:rsidR="00A32DB9" w:rsidRPr="00341FF8" w:rsidTr="00D55C65">
        <w:trPr>
          <w:trHeight w:val="274"/>
        </w:trPr>
        <w:tc>
          <w:tcPr>
            <w:tcW w:w="1777" w:type="dxa"/>
          </w:tcPr>
          <w:p w:rsidR="00A32DB9" w:rsidRPr="00A32DB9" w:rsidRDefault="00A32DB9" w:rsidP="00A32DB9">
            <w:pPr>
              <w:ind w:left="720" w:hanging="720"/>
              <w:jc w:val="both"/>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lastRenderedPageBreak/>
              <w:t>ETS-1</w:t>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 xml:space="preserve">ADDIN CSL_CITATION {"citationItems":[{"id":"ITEM-1","itemData":{"DOI":"10.1038/emboj.2008.117","ISSN":"02614189","PMID":"18566588","abstract":"The function of the Ets-1 transcription factor is regulated by two regions that flank its DNA-binding domain. A previously established mechanism for auto-inhibition of monomeric Ets-1 on DNA response elements with a single ETS-binding site, however, has not been observed for the stromelysin-1 promoter containing two palindromic ETS-binding sites. We present the structure of Ets-1 on this promoter element, revealing a ternary complex in which protein homo-dimerization is mediated by the specific arrangement of the two ETS-binding sites. In this complex, the N-terminal-flanking region is required for ternary protein-DNA assembly. Ets-1 variants, in which residues from this region are mutated, loose the ability for DNA-mediated dimerization and stromelysin-1 promoter transactivation. Thus, our data unravel the molecular basis for relief of auto-inhibition and the ability of Ets-1 to function as a facultative dimeric transcription factor on this site. Our findings may also explain previous data of Ets-1 function in the context of heterologous transcription factors, thus providing a molecular model that could also be valid for Ets-1 regulation by hetero-oligomeric assembly. ©2008 European Molecular Biology Organization.","author":[{"dropping-particle":"","family":"Lamber","given":"Ekaterina P.","non-dropping-particle":"","parse-names":false,"suffix":""},{"dropping-particle":"","family":"Vanhille","given":"Laurent","non-dropping-particle":"","parse-names":false,"suffix":""},{"dropping-particle":"","family":"Textor","given":"Larissa C.","non-dropping-particle":"","parse-names":false,"suffix":""},{"dropping-particle":"","family":"Kachalova","given":"Galina S.","non-dropping-particle":"","parse-names":false,"suffix":""},{"dropping-particle":"","family":"Sieweke","given":"Michael H.","non-dropping-particle":"","parse-names":false,"suffix":""},{"dropping-particle":"","family":"Wilmanns","given":"Matthias","non-dropping-particle":"","parse-names":false,"suffix":""}],"container-title":"EMBO Journal","id":"ITEM-1","issue":"14","issued":{"date-parts":[["2008"]]},"page":"2006-2017","title":"Regulation of the transcription factor Ets-1 by DNA-mediated homo-dimerization","type":"article-journal","volume":"27"},"uris":["http://www.mendeley.com/documents/?uuid=a833ae6b-e592-47d8-87c9-b5b6df191d44","http://www.mendeley.com/documents/?uuid=39dd0b9d-b9c3-4ed6-bd80-91b05fd12e4b"]},{"id":"ITEM-2","itemData":{"DOI":"10.1074/jbc.M410722200","ISSN":"00219258","PMID":"15591056","abstract":"The transcription factor Ets-1 is regulated by the allosteric coupling of DNA binding with the unfolding of an α-helix (HI-1) within an autoinhibitory module. To understand the structural and dynamic basis for this autoinhibition, we have used NMR spectroscopy to characterize Ets-1ΔN301, a partially inhibited fragment of Ets-1. The NMR-derived Ets-1ΔN301 structure reveals that the autoinhibitory module is formed predominantly by the hydrophobic packing of helices from the N-terminal (HI-1, HI-2) and C-terminal (H4, H5) inhibitory sequences, along with H1 of the intervening DNA binding ETS domain. The intramolecular interactions made by HI-1 in Ets-1ΔN301 are similar to the intermolecular contacts observed in the crystal structure of an Ets-1ΔN300 dimer, confirming that the latter represents a domain-swapped species. 15N relaxation studies demonstrate that the backbone of the N-terminal inhibitory sequence is mobile on the nanosecond-picosecond and millisecond-microsecond time scales. Furthermore, hydrogen exchange measurements reveal that amide protons in helices HI-1 and HI-2 exchange with water at rates only </w:instrText>
            </w:r>
            <w:r>
              <w:rPr>
                <w:rFonts w:ascii="Cambria Math" w:eastAsia="Calibri" w:hAnsi="Cambria Math" w:cs="Cambria Math"/>
                <w:sz w:val="24"/>
                <w:szCs w:val="24"/>
                <w:lang w:val="en-US"/>
              </w:rPr>
              <w:instrText>∼</w:instrText>
            </w:r>
            <w:r>
              <w:rPr>
                <w:rFonts w:ascii="Times New Roman" w:eastAsia="Calibri" w:hAnsi="Times New Roman" w:cs="Times New Roman"/>
                <w:sz w:val="24"/>
                <w:szCs w:val="24"/>
                <w:lang w:val="en-US"/>
              </w:rPr>
              <w:instrText xml:space="preserve">15- and </w:instrText>
            </w:r>
            <w:r>
              <w:rPr>
                <w:rFonts w:ascii="Cambria Math" w:eastAsia="Calibri" w:hAnsi="Cambria Math" w:cs="Cambria Math"/>
                <w:sz w:val="24"/>
                <w:szCs w:val="24"/>
                <w:lang w:val="en-US"/>
              </w:rPr>
              <w:instrText>∼</w:instrText>
            </w:r>
            <w:r>
              <w:rPr>
                <w:rFonts w:ascii="Times New Roman" w:eastAsia="Calibri" w:hAnsi="Times New Roman" w:cs="Times New Roman"/>
                <w:sz w:val="24"/>
                <w:szCs w:val="24"/>
                <w:lang w:val="en-US"/>
              </w:rPr>
              <w:instrText>75-fold slower, respectively, than predicted for an unfolded polypeptide. These findings indicate that inhibitory helices are only marginally stable even in the absence of DNA. The energetic coupling of DNA binding with the facile unfolding of the labile HI-1 provides a mechanism for modulating Ets-1 DNA binding activity via protein partnerships, post-translational modifications, or mutations. Ets-1 autoinhibition illustrates how conformational equilibria within structural domains can regulate macromolecular interactions. © 2005 by The American Society for Biochemistry and Molecular Biology, Inc.","author":[{"dropping-particle":"","family":"Lee","given":"Gregory M.","non-dropping-particle":"","parse-names":false,"suffix":""},{"dropping-particle":"","family":"Donaldson","given":"Logan W.","non-dropping-particle":"","parse-names":false,"suffix":""},{"dropping-particle":"","family":"Pufall","given":"Miles A.","non-dropping-particle":"","parse-names":false,"suffix":""},{"dropping-particle":"","family":"Kang","given":"Hyun Seo","non-dropping-particle":"","parse-names":false,"suffix":""},{"dropping-particle":"","family":"Pot","given":"Isabelle","non-dropping-particle":"","parse-names":false,"suffix":""},{"dropping-particle":"","family":"Graves","given":"Barbara J.","non-dropping-particle":"","parse-names":false,"suffix":""},{"dropping-particle":"","family":"McIntosh","given":"Lawrence P.","non-dropping-particle":"","parse-names":false,"suffix":""}],"container-title":"Journal of Biological Chemistry","id":"ITEM-2","issue":"8","issued":{"date-parts":[["2005"]]},"page":"7088-7099","publisher":"Â© 2005 ASBMB. Currently published by Elsevier Inc; originally published by American Society for Biochemistry and Molecular Biology.","title":"The structural and dynamic basis of Ets-1 DNA binding autoinhibition","type":"article-journal","volume":"280"},"uris":["http://www.mendeley.com/documents/?uuid=6174c9fd-bfcf-4608-914c-59074a23266f","http://www.mendeley.com/documents/?uuid=7dc9c835-11a7-44f7-a67d-3c07db463111"]}],"mendeley":{"formattedCitation":"&lt;sup&gt;16,17&lt;/sup&gt;","plainTextFormattedCitation":"16,17","previouslyFormattedCitation":"&lt;sup&gt;16,17&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16,17</w:t>
            </w:r>
            <w:r w:rsidRPr="00A32DB9">
              <w:rPr>
                <w:rFonts w:ascii="Times New Roman" w:eastAsia="Calibri" w:hAnsi="Times New Roman" w:cs="Times New Roman"/>
                <w:sz w:val="24"/>
                <w:szCs w:val="24"/>
                <w:lang w:val="en-US"/>
              </w:rPr>
              <w:fldChar w:fldCharType="end"/>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0.4405</w:t>
            </w:r>
          </w:p>
          <w:p w:rsidR="00A32DB9" w:rsidRPr="00A32DB9" w:rsidRDefault="00A32DB9" w:rsidP="00A32DB9">
            <w:pPr>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42.86%</w:t>
            </w:r>
          </w:p>
        </w:tc>
        <w:tc>
          <w:tcPr>
            <w:tcW w:w="1797" w:type="dxa"/>
            <w:gridSpan w:val="2"/>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Transcriptional regulation</w:t>
            </w:r>
            <w:r w:rsidRPr="00A32DB9">
              <w:rPr>
                <w:rFonts w:ascii="Times New Roman" w:eastAsia="Calibri" w:hAnsi="Times New Roman" w:cs="Times New Roman"/>
                <w:color w:val="0A0A0A"/>
                <w:sz w:val="24"/>
                <w:szCs w:val="24"/>
                <w:shd w:val="clear" w:color="auto" w:fill="FBFEFF"/>
              </w:rPr>
              <w:t>, immunity</w:t>
            </w:r>
          </w:p>
        </w:tc>
        <w:tc>
          <w:tcPr>
            <w:tcW w:w="1344"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50.4 (441)</w:t>
            </w:r>
          </w:p>
        </w:tc>
        <w:tc>
          <w:tcPr>
            <w:tcW w:w="3142" w:type="dxa"/>
          </w:tcPr>
          <w:p w:rsidR="00A32DB9" w:rsidRPr="00A32DB9" w:rsidRDefault="00A32DB9" w:rsidP="00A32DB9">
            <w:pPr>
              <w:jc w:val="both"/>
              <w:rPr>
                <w:rFonts w:ascii="Times New Roman" w:eastAsia="Calibri" w:hAnsi="Times New Roman" w:cs="Times New Roman"/>
                <w:sz w:val="24"/>
                <w:szCs w:val="24"/>
                <w:lang w:val="en-US"/>
              </w:rPr>
            </w:pPr>
            <w:proofErr w:type="gramStart"/>
            <w:r w:rsidRPr="00A32DB9">
              <w:rPr>
                <w:rFonts w:ascii="Times New Roman" w:eastAsia="Calibri" w:hAnsi="Times New Roman" w:cs="Times New Roman"/>
                <w:sz w:val="24"/>
                <w:szCs w:val="24"/>
                <w:lang w:val="en-US"/>
              </w:rPr>
              <w:t>DNA-binding</w:t>
            </w:r>
            <w:proofErr w:type="gramEnd"/>
            <w:r w:rsidRPr="00A32DB9">
              <w:rPr>
                <w:rFonts w:ascii="Times New Roman" w:eastAsia="Calibri" w:hAnsi="Times New Roman" w:cs="Times New Roman"/>
                <w:sz w:val="24"/>
                <w:szCs w:val="24"/>
                <w:lang w:val="en-US"/>
              </w:rPr>
              <w:t xml:space="preserve"> of monomer or </w:t>
            </w:r>
            <w:proofErr w:type="spellStart"/>
            <w:r w:rsidRPr="00A32DB9">
              <w:rPr>
                <w:rFonts w:ascii="Times New Roman" w:eastAsia="Calibri" w:hAnsi="Times New Roman" w:cs="Times New Roman"/>
                <w:sz w:val="24"/>
                <w:szCs w:val="24"/>
                <w:lang w:val="en-US"/>
              </w:rPr>
              <w:t>homodimer</w:t>
            </w:r>
            <w:proofErr w:type="spellEnd"/>
            <w:r w:rsidRPr="00A32DB9">
              <w:rPr>
                <w:rFonts w:ascii="Times New Roman" w:eastAsia="Calibri" w:hAnsi="Times New Roman" w:cs="Times New Roman"/>
                <w:sz w:val="24"/>
                <w:szCs w:val="24"/>
                <w:lang w:val="en-US"/>
              </w:rPr>
              <w:t xml:space="preserve">. Mainly specifically binds to </w:t>
            </w:r>
            <w:proofErr w:type="spellStart"/>
            <w:r w:rsidRPr="00A32DB9">
              <w:rPr>
                <w:rFonts w:ascii="Times New Roman" w:eastAsia="Calibri" w:hAnsi="Times New Roman" w:cs="Times New Roman"/>
                <w:sz w:val="24"/>
                <w:szCs w:val="24"/>
                <w:lang w:val="en-US"/>
              </w:rPr>
              <w:t>Ets</w:t>
            </w:r>
            <w:proofErr w:type="spellEnd"/>
            <w:r w:rsidRPr="00A32DB9">
              <w:rPr>
                <w:rFonts w:ascii="Times New Roman" w:eastAsia="Calibri" w:hAnsi="Times New Roman" w:cs="Times New Roman"/>
                <w:sz w:val="24"/>
                <w:szCs w:val="24"/>
                <w:lang w:val="en-US"/>
              </w:rPr>
              <w:t>-binding sites (EBS), comprising a 50-GGAA/T-30 core motif. Fuzzy complex formation. Inserts into the DNA major groove. Undergoes order-to-disorder transitions.</w:t>
            </w: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Controls the expression of cytokine and chemokine genes in a wide variety of different cellular contexts, including cancer progression, immune response, T cells development </w:t>
            </w:r>
          </w:p>
        </w:tc>
      </w:tr>
      <w:tr w:rsidR="00A32DB9" w:rsidRPr="00341FF8" w:rsidTr="00D55C65">
        <w:trPr>
          <w:trHeight w:val="274"/>
        </w:trPr>
        <w:tc>
          <w:tcPr>
            <w:tcW w:w="1777"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FUS</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{"citationItems":[{"id":"ITEM-1","itemData":{"DOI":"10.1093/nar/gkv679","ISSN":"13624962","PMID":"26150427","abstract":"FUS, a nuclear RNA-binding protein, plays multiple roles in RNA processing. Five specific FUS-binding RNA sequence/structure motifs have been proposed, but their affinities for FUS have not been directly compared. Here we find that human FUS binds all these sequences with Kdapp values spanning a 10-fold range. Furthermore, some RNAs that do not contain any of these motifs bind FUS with similar affinity. FUS binds RNA in a length-dependent manner, consistent with a substantial non-specific component to binding. Finally, investigation of FUS binding to different nucleic acids shows that it binds single-stranded DNA with three-fold lower affinity than ssRNA of the same length and sequence, while binding to double-stranded nucleic acids is weaker. We conclude that FUS has quite general nucleic acid-binding activity, with the various proposed RNA motifs being neither necessary for FUS binding nor sufficient to explain its diverse binding partners.","author":[{"dropping-particle":"","family":"Wang","given":"Xueyin","non-dropping-particle":"","parse-names":false,"suffix":""},{"dropping-particle":"","family":"Schwartz","given":"Jacob C.","non-dropping-particle":"","parse-names":false,"suffix":""},{"dropping-particle":"","family":"Cech","given":"Thomas R.","non-dropping-particle":"","parse-names":false,"suffix":""}],"container-title":"Nucleic Acids Research","id":"ITEM-1","issue":"15","issued":{"date-parts":[["2015"]]},"page":"7535-7543","title":"Nucleic acid-binding specificity of human FUS protein","type":"article-journal","volume":"43"},"uris":["http://www.mendeley.com/documents/?uuid=4a7a932b-0ac8-47c9-9b67-09bc43774a85"]},{"id":"ITEM-2","itemData":{"DOI":"10.1038/srep35195","ISSN":"20452322","PMID":"27731383","abstract":"FUS (Fused-in-Sarcoma) is a multifunctional DNA/RNA binding protein linked to familial amyotrophic lateral sclerosis/frontotemporal dementia (ALS/FTD). Since FUS is localized mainly in the nucleus with nucleo-cytoplasmic shuttling, it is critical to understand physiological functions in the nucleus to clarify pathogenesis. Here we report a yeast two-hybrid screening identified FUS interaction with nuclear matrix-associated protein SAFB1 (scaffold attachment factor B1). FUS and SAFB1, abundant in chromatin-bound fraction, interact in a DNA-dependent manner. N-terminal SAP domain of SAFB1, a DNA-binding motif, was required for its localization to chromatin-bound fraction and splicing regulation. In addition, depletion of SAFB1 reduced FUS's localization to chromatin-bound fraction and splicing activity, suggesting SAFB1 could tether FUS to chromatin compartment thorough N-terminal DNA-binding motif. FUS and SAFB1 also interact with Androgen Receptor (AR) regulating ligand-dependent transcription. Moreover, FUS interacts with another nuclear matrix-associated protein Matrin3, which is muted in a subset of familial ALS cases and reportedly interacts with TDP-43. Interestingly, ectopic ALS-linked FUS mutant sequestered endogenous Matrin3 and SAFB1 in the cytoplasmic aggregates. These findings indicate SAFB1 could be a FUS's functional platform in chromatin compartment to regulate RNA splicing and ligand-dependent transcription and shed light on the etiological significance of nuclear matrix-associated proteins in ALS pathogenesis.","author":[{"dropping-particle":"","family":"Yamaguchi","given":"Atsushi","non-dropping-particle":"","parse-names":false,"suffix":""},{"dropping-particle":"","family":"Takanashi","given":"Keisuke","non-dropping-particle":"","parse-names":false,"suffix":""}],"container-title":"Scientific Reports","id":"ITEM-2","issue":"July","issued":{"date-parts":[["2016"]]},"page":"1-14","publisher":"Nature Publishing Group","title":"FUS interacts with nuclear matrix-associated protein SAFB1 as well as Matrin3 to regulate splicing and ligand-mediated transcription","type":"article-journal","volume":"6"},"uris":["http://www.mendeley.com/documents/?uuid=e4cede8e-3a8c-469c-9444-79c00bfd8408","http://www.mendeley.com/documents/?uuid=ad5aa7a4-c929-4d0c-a9fa-48fe032e3bfb"]},{"id":"ITEM-3","itemData":{"DOI":"10.1038/nn.3514","ISSN":"10976256","PMID":"24036913","abstract":"Defects in DNA repair have been extensively linked to neurodegenerative diseases, but the exact mechanisms remain poorly understood. We found that FUS, an RNA/DNA-binding protein that has been linked to amyotrophic lateral sclerosis (ALS) and frontotemporal lobar degeneration, is important for the DNA damage response (DDR). The function of FUS in DDR involved a direct interaction with histone deacetylase 1 (HDAC1), and the recruitment of FUS to double-stranded break sites was important for proper DDR signaling. Notably, FUS proteins carrying familial ALS mutations were defective in DDR and DNA repair and showed a diminished interaction with HDAC1. Moreover, we observed increased DNA damage in human ALS patients harboring FUS mutations. Our findings suggest that an impaired DDR and DNA repair may contribute to the pathogenesis of neurodegenerative diseases linked to FUS mutations. © 2013 Nature America, Inc. All rights reserved.","author":[{"dropping-particle":"","family":"Wang","given":"Wen Yuan","non-dropping-particle":"","parse-names":false,"suffix":""},{"dropping-particle":"","family":"Pan","given":"Ling","non-dropping-particle":"","parse-names":false,"suffix":""},{"dropping-particle":"","family":"Su","given":"Susan C.","non-dropping-particle":"","parse-names":false,"suffix":""},{"dropping-particle":"","family":"Quinn","given":"Emma J.","non-dropping-particle":"","parse-names":false,"suffix":""},{"dropping-particle":"","family":"Sasaki","given":"Megumi","non-dropping-particle":"","parse-names":false,"suffix":""},{"dropping-particle":"","family":"Jimenez","given":"Jessica C.","non-dropping-particle":"","parse-names":false,"suffix":""},{"dropping-particle":"","family":"MacKenzie","given":"Ian R.A.","non-dropping-particle":"","parse-names":false,"suffix":""},{"dropping-particle":"","family":"Huang","given":"Eric J.","non-dropping-particle":"","parse-names":false,"suffix":""},{"dropping-particle":"","family":"Tsai","given":"Li Huei","non-dropping-particle":"","parse-names":false,"suffix":""}],"container-title":"Nature Neuroscience","id":"ITEM-3","issue":"10","issued":{"date-parts":[["2013"]]},"page":"1383-1391","publisher":"Nature Publishing Group","title":"Interaction of FUS and HDAC1 regulates DNA damage response and repair in neurons","type":"article-journal","volume":"16"},"uris":["http://www.mendeley.com/documents/?uuid=db86d9d8-f6af-41d7-826f-57e1fcb9f2e2","http://www.mendeley.com/documents/?uuid=bde30a25-b94c-4c80-8f88-c186014892ba"]}],"mendeley":{"formattedCitation":"&lt;sup&gt;18–20&lt;/sup&gt;","plainTextFormattedCitation":"18–20","previouslyFormattedCitation":"&lt;sup&gt;18–20&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18–20</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0.8894</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90.68%</w:t>
            </w:r>
          </w:p>
        </w:tc>
        <w:tc>
          <w:tcPr>
            <w:tcW w:w="1797" w:type="dxa"/>
            <w:gridSpan w:val="2"/>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Transcriptional regulation, RNA splicing, DNA damage response signaling, DNA repair and damage response</w:t>
            </w:r>
          </w:p>
        </w:tc>
        <w:tc>
          <w:tcPr>
            <w:tcW w:w="1344"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53.4 (526)</w:t>
            </w:r>
          </w:p>
        </w:tc>
        <w:tc>
          <w:tcPr>
            <w:tcW w:w="3142" w:type="dxa"/>
          </w:tcPr>
          <w:p w:rsidR="00A32DB9" w:rsidRPr="00A32DB9" w:rsidRDefault="00A32DB9" w:rsidP="00A32DB9">
            <w:pPr>
              <w:jc w:val="both"/>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DNA/RNA-binding protein. Weaker binding to DNA than to FUS. Binding specificity to some RNA sequences. Contains unstructured “prion”-like domain (PLD)</w:t>
            </w: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Neural system </w:t>
            </w:r>
            <w:proofErr w:type="gramStart"/>
            <w:r w:rsidRPr="00A32DB9">
              <w:rPr>
                <w:rFonts w:ascii="Times New Roman" w:eastAsia="Calibri" w:hAnsi="Times New Roman" w:cs="Times New Roman"/>
                <w:sz w:val="24"/>
                <w:szCs w:val="24"/>
                <w:lang w:val="en-US"/>
              </w:rPr>
              <w:t>functioning,</w:t>
            </w:r>
            <w:proofErr w:type="gramEnd"/>
            <w:r w:rsidRPr="00A32DB9">
              <w:rPr>
                <w:rFonts w:ascii="Times New Roman" w:eastAsia="Calibri" w:hAnsi="Times New Roman" w:cs="Times New Roman"/>
                <w:sz w:val="24"/>
                <w:szCs w:val="24"/>
                <w:lang w:val="en-US"/>
              </w:rPr>
              <w:t xml:space="preserve"> associated diseases and neurodegeneration as amyotrophic lateral sclerosis/ </w:t>
            </w:r>
            <w:proofErr w:type="spellStart"/>
            <w:r w:rsidRPr="00A32DB9">
              <w:rPr>
                <w:rFonts w:ascii="Times New Roman" w:eastAsia="Calibri" w:hAnsi="Times New Roman" w:cs="Times New Roman"/>
                <w:sz w:val="24"/>
                <w:szCs w:val="24"/>
                <w:lang w:val="en-US"/>
              </w:rPr>
              <w:t>frontemporal</w:t>
            </w:r>
            <w:proofErr w:type="spellEnd"/>
            <w:r w:rsidRPr="00A32DB9">
              <w:rPr>
                <w:rFonts w:ascii="Times New Roman" w:eastAsia="Calibri" w:hAnsi="Times New Roman" w:cs="Times New Roman"/>
                <w:sz w:val="24"/>
                <w:szCs w:val="24"/>
                <w:lang w:val="en-US"/>
              </w:rPr>
              <w:t xml:space="preserve"> dementia (ALS/FTD). Sarcoma and cancer progression. Response to DNA damage</w:t>
            </w:r>
            <w:r w:rsidRPr="00A32DB9">
              <w:rPr>
                <w:rFonts w:ascii="Times New Roman" w:eastAsia="Calibri" w:hAnsi="Times New Roman" w:cs="Times New Roman"/>
                <w:sz w:val="24"/>
                <w:szCs w:val="24"/>
              </w:rPr>
              <w:t xml:space="preserve"> </w:t>
            </w:r>
            <w:r w:rsidRPr="00A32DB9">
              <w:rPr>
                <w:rFonts w:ascii="Times New Roman" w:eastAsia="Calibri" w:hAnsi="Times New Roman" w:cs="Times New Roman"/>
                <w:sz w:val="24"/>
                <w:szCs w:val="24"/>
                <w:lang w:val="en-US"/>
              </w:rPr>
              <w:t>and being one of the earliest proteins recruited to DNA lesions</w:t>
            </w:r>
          </w:p>
        </w:tc>
      </w:tr>
      <w:tr w:rsidR="00A32DB9" w:rsidRPr="00341FF8" w:rsidTr="00D55C65">
        <w:trPr>
          <w:trHeight w:val="274"/>
        </w:trPr>
        <w:tc>
          <w:tcPr>
            <w:tcW w:w="1777"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Tau</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{"citationItems":[{"id":"ITEM-1","itemData":{"DOI":"10.1371/journal.pone.0002600","ISSN":"19326203","PMID":"18596978","abstract":"Tau, an important microtubule associated protein, has been found to bind to DNA, and to be localized in the nuclei of both neurons and some non-neuronal cells. Here, using electrophoretic mobility shifting assay (EMSA) in the presence of DNA with different chain-lengths, we observed that tau protein favored binding to a 13 bp or a longer polynucleotide. The results from atomic force microscopy also showed that tau protein preferred a 13 bp polynucleotide to a 12 bp or shorter polynucleotide. In a competitive assay, a minor groove binder distamycin A was able to replace the bound tau from the DNA double helix, indicating that tau protein binds to the minor groove. Tau protein was able to protect the double-strand from digestion in the presence of DNase I that was bound to the minor groove. On the other hand, a major groove binder methyl green as a negative competitor, exhibited little effect on the retardation of tau-DNA complex in EMSA. This further indicates the DNA minor groove as the binding site for tau protein. EMSA with truncated tau proteins showed that both the proline-rich domain (PRD) and the microtubule-binding domain (MTBD) contributed to the literaction with DNA; that is to say, both PRD and MTBD bound to the minor groove of DNA and bent the double-strand, as observed by electron microscopy. To investigate whether tau protein is able to prevent DNA from the impairment by hydroxyl free radical, the chemiluminescence emitted by the phen-Cu/H2O2/ascorbate was measured. The emission intensity of the luminescence was markedly decreased when tau protein was present, suggesting a significant protection of DNA from the damage in the presence of hydroxyl free radical. © 2008 Wei et al.","author":[{"dropping-particle":"","family":"Wei","given":"Yan","non-dropping-particle":"","parse-names":false,"suffix":""},{"dropping-particle":"","family":"Qu","given":"Mei Hua","non-dropping-particle":"","parse-names":false,"suffix":""},{"dropping-particle":"","family":"Wang","given":"Xing Sheng","non-dropping-particle":"","parse-names":false,"suffix":""},{"dropping-particle":"","family":"Chen","given":"Lan","non-dropping-particle":"","parse-names":false,"suffix":""},{"dropping-particle":"","family":"Wang","given":"Dong Liang","non-dropping-particle":"","parse-names":false,"suffix":""},{"dropping-particle":"","family":"Liu","given":"Ying","non-dropping-particle":"","parse-names":false,"suffix":""},{"dropping-particle":"","family":"Hua","given":"Qian","non-dropping-particle":"","parse-names":false,"suffix":""},{"dropping-particle":"","family":"He","given":"Rong Qiao","non-dropping-particle":"","parse-names":false,"suffix":""}],"container-title":"PLoS ONE","id":"ITEM-1","issue":"7","issued":{"date-parts":[["2008"]]},"title":"Binding to the minor groove of the double-strand, Tau protein prevents DNA damage by peroxidation","type":"article-journal","volume":"3"},"uris":["http://www.mendeley.com/documents/?uuid=ae9f66a0-8acd-4d90-8bb6-231dc7fc1af7","http://www.mendeley.com/documents/?uuid=02ef9b94-83dc-4524-975a-6b7b81c8aa3b"]},{"id":"ITEM-2","itemData":{"DOI":"10.1093/nar/gky929","ISSN":"13624962","PMID":"30321409","abstract":"Tauopathies such as Alzheimer's Disease (AD) are neurodegenerative disorders for which there is presently no cure. They are named after the abnormal oligomerization/aggregation of the neuronal microtubule-associated Tau protein. Besides its role as a microtubule-associated protein, a DNA-binding capacity and a nuclear localization for Tau protein has been described in neurons. While questioning the potential role of Tau-DNA binding in the development of tauopathies, we have carried out a large-scale analysis of the interaction of Tau protein with the neuronal genome under physiological and heat stress conditions using the ChIP-on-chip technique that combines Chromatin ImmunoPrecipitation (ChIP) with DNA microarray (chip). Our findings show that Tau protein specifically interacts with genic and intergenic DNA sequences of primary culture of neurons with a preference for DNA regions positioned beyond the ±5000 bp range from transcription start site. An AG-rich DNA motif was found recurrently present within Tau-interacting regions and 30% of Tau-interacting regions overlapped DNA sequences coding for lncRNAs. Neurological processes affected in AD were enriched among Tau-interacting regions with in vivo gene expression assays being indicative of a transcriptional repressor role for Tau protein, which was exacerbated in neurons displaying nuclear pathological oligomerized forms of Tau protein.","author":[{"dropping-particle":"","family":"Benhelli-Mokrani","given":"Houda","non-dropping-particle":"","parse-names":false,"suffix":""},{"dropping-particle":"","family":"Mansuroglu","given":"Zeyni","non-dropping-particle":"","parse-names":false,"suffix":""},{"dropping-particle":"","family":"Chauderlier","given":"Alban","non-dropping-particle":"","parse-names":false,"suffix":""},{"dropping-particle":"","family":"Albaud","given":"Benoit","non-dropping-particle":"","parse-names":false,"suffix":""},{"dropping-particle":"","family":"Gentien","given":"David","non-dropping-particle":"","parse-names":false,"suffix":""},{"dropping-particle":"","family":"Sommer","given":"Sabrina","non-dropping-particle":"","parse-names":false,"suffix":""},{"dropping-particle":"","family":"Schirmer","given":"Claire","non-dropping-particle":"","parse-names":false,"suffix":""},{"dropping-particle":"","family":"Laqueuvre","given":"Lucie","non-dropping-particle":"","parse-names":false,"suffix":""},{"dropping-particle":"","family":"Josse","given":"Thibaut","non-dropping-particle":"","parse-names":false,"suffix":""},{"dropping-particle":"","family":"Buée","given":"Luc","non-dropping-particle":"","parse-names":false,"suffix":""},{"dropping-particle":"","family":"Lefebvre","given":"Bruno","non-dropping-particle":"","parse-names":false,"suffix":""},{"dropping-particle":"","family":"Galas","given":"Marie Christine","non-dropping-particle":"","parse-names":false,"suffix":""},{"dropping-particle":"","family":"Souès","given":"Sylvie","non-dropping-particle":"","parse-names":false,"suffix":""},{"dropping-particle":"","family":"Bonnefoy","given":"Eliette","non-dropping-particle":"","parse-names":false,"suffix":""}],"container-title":"Nucleic acids research","id":"ITEM-2","issue":"21","issued":{"date-parts":[["2018"]]},"page":"11405-11422","title":"Genome-wide identification of genic and intergenic neuronal DNA regions bound by Tau protein under physiological and stress conditions","type":"article-journal","volume":"46"},"uris":["http://www.mendeley.com/documents/?uuid=5a2c174f-db37-48c6-807b-1d4de0ca4f6f","http://www.mendeley.com/documents/?uuid=86247c5a-719c-4e32-802b-352baa0c6d5f"]}],"mendeley":{"formattedCitation":"&lt;sup&gt;21,22&lt;/sup&gt;","plainTextFormattedCitation":"21,22","previouslyFormattedCitation":"&lt;sup&gt;21,22&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21,22</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0.8580</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99.08%</w:t>
            </w:r>
          </w:p>
        </w:tc>
        <w:tc>
          <w:tcPr>
            <w:tcW w:w="1797" w:type="dxa"/>
            <w:gridSpan w:val="2"/>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Transcriptional regulation. DNA damage response.  Microtubule assembly and stability, organization and integrity of the neuronal cytoskeleton, neural system development. </w:t>
            </w:r>
          </w:p>
        </w:tc>
        <w:tc>
          <w:tcPr>
            <w:tcW w:w="1344"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78.9 (758)</w:t>
            </w:r>
          </w:p>
        </w:tc>
        <w:tc>
          <w:tcPr>
            <w:tcW w:w="3142"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Binds to double-stranded DNA and mainly to minor groove. Some rate of specificity </w:t>
            </w:r>
            <w:proofErr w:type="spellStart"/>
            <w:r w:rsidRPr="00A32DB9">
              <w:rPr>
                <w:rFonts w:ascii="Times New Roman" w:eastAsia="Calibri" w:hAnsi="Times New Roman" w:cs="Times New Roman"/>
                <w:sz w:val="24"/>
                <w:szCs w:val="24"/>
                <w:lang w:val="en-US"/>
              </w:rPr>
              <w:t>ti</w:t>
            </w:r>
            <w:proofErr w:type="spellEnd"/>
            <w:r w:rsidRPr="00A32DB9">
              <w:rPr>
                <w:rFonts w:ascii="Times New Roman" w:eastAsia="Calibri" w:hAnsi="Times New Roman" w:cs="Times New Roman"/>
                <w:sz w:val="24"/>
                <w:szCs w:val="24"/>
                <w:lang w:val="en-US"/>
              </w:rPr>
              <w:t xml:space="preserve"> binding with AG-rich DNA motif, especially 5’-AGAGAGAGAG-3’, and overlap with DNA sequences coding for </w:t>
            </w:r>
            <w:proofErr w:type="spellStart"/>
            <w:r w:rsidRPr="00A32DB9">
              <w:rPr>
                <w:rFonts w:ascii="Times New Roman" w:eastAsia="Calibri" w:hAnsi="Times New Roman" w:cs="Times New Roman"/>
                <w:sz w:val="24"/>
                <w:szCs w:val="24"/>
                <w:lang w:val="en-US"/>
              </w:rPr>
              <w:t>lncRNAs</w:t>
            </w:r>
            <w:proofErr w:type="spellEnd"/>
            <w:r w:rsidRPr="00A32DB9">
              <w:rPr>
                <w:rFonts w:ascii="Times New Roman" w:eastAsia="Calibri" w:hAnsi="Times New Roman" w:cs="Times New Roman"/>
                <w:sz w:val="24"/>
                <w:szCs w:val="24"/>
                <w:lang w:val="en-US"/>
              </w:rPr>
              <w:t>.</w:t>
            </w: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Neural system functioning, neurodegeneration process, Alzheimer's disease etc. Participates in protection of DNA damage prevention.</w:t>
            </w:r>
          </w:p>
        </w:tc>
      </w:tr>
      <w:tr w:rsidR="00A32DB9" w:rsidRPr="00341FF8" w:rsidTr="00D55C65">
        <w:trPr>
          <w:trHeight w:val="274"/>
        </w:trPr>
        <w:tc>
          <w:tcPr>
            <w:tcW w:w="1777"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lastRenderedPageBreak/>
              <w:t>TDP-43</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{"citationItems":[{"id":"ITEM-1","itemData":{"DOI":"10.1016/j.celrep.2019.04.003","ISSN":"22111247","PMID":"31042469","abstract":"Loss of the nuclear RNA binding protein TAR DNA binding protein-43 (TDP-43) into cytoplasmic aggregates is the strongest correlate to neurodegeneration in amyotrophic lateral sclerosis and frontotemporal degeneration. The molecular changes associated with the loss of nuclear TDP-43 in human tissues are not entirely known. Using subcellular fractionation and fluorescent-activated cell sorting to enrich for diseased neuronal nuclei without TDP-43 from post-mortem frontotemporal degeneration-amyotrophic lateral sclerosis (FTD-ALS) human brain, we characterized the effects of TDP-43 loss on the transcriptome and chromatin accessibility. Nuclear TDP-43 loss is associated with gene expression changes that affect RNA processing, nucleocytoplasmic transport, histone processing, and DNA damage. Loss of nuclear TDP-43 is also associated with chromatin decondensation around long interspersed nuclear elements (LINEs) and increased LINE1 DNA content. Moreover, loss of TDP-43 leads to increased retrotransposition that can be inhibited with antiretroviral drugs, suggesting that TDP-43 neuropathology is associated with altered chromatin structure including decondensation of LINEs. Liu et al. fractionated and sorted for diseased neuronal nuclei from post-mortem FTD-ALS human brains and showed that loss of an RNA-binding protein, TDP-43, altered the transcriptome and chromatin accessibility. Their results suggest that loss of nuclear TDP-43 is associated with decondensation of LINE retrotransposons.","author":[{"dropping-particle":"","family":"Liu","given":"Elaine Y.","non-dropping-particle":"","parse-names":false,"suffix":""},{"dropping-particle":"","family":"Russ","given":"Jenny","non-dropping-particle":"","parse-names":false,"suffix":""},{"dropping-particle":"","family":"Cali","given":"Christopher P.","non-dropping-particle":"","parse-names":false,"suffix":""},{"dropping-particle":"","family":"Phan","given":"Jessica M.","non-dropping-particle":"","parse-names":false,"suffix":""},{"dropping-particle":"","family":"Amlie-Wolf","given":"Alexandre","non-dropping-particle":"","parse-names":false,"suffix":""},{"dropping-particle":"","family":"Lee","given":"Edward B.","non-dropping-particle":"","parse-names":false,"suffix":""}],"container-title":"Cell Reports","id":"ITEM-1","issue":"5","issued":{"date-parts":[["2019"]]},"page":"1409-1421.e6","publisher":"ElsevierCompany.","title":"Loss of Nuclear TDP-43 Is Associated with Decondensation of LINE Retrotransposons","type":"article-journal","volume":"27"},"uris":["http://www.mendeley.com/documents/?uuid=6586adf3-44a3-4135-845c-99b3d290ce8f","http://www.mendeley.com/documents/?uuid=51ad2a72-1086-4c45-b6ea-b8d34cf9bcdb"]},{"id":"ITEM-2","itemData":{"DOI":"10.1016/j.bbrc.2012.07.071","ISSN":"0006291X","PMID":"22835933","abstract":"TDP-43 is a DNA/RNA-binding protein associated with different neurodegenerative diseases such as amyotrophic lateral sclerosis (ALS) and frontotemporal lobar degeneration (FTLD-U). Here, the structural and physical properties of the N-terminus on TDP-43 have been carefully characterized through a combination of nuclear magnetic resonance (NMR), circular dichroism (CD) and fluorescence anisotropy studies. We demonstrate for the first time the importance of the N-terminus in promoting TDP-43 oligomerization and enhancing its DNA-binding affinity. An unidentified structural domain in the N-terminus is also disclosed. Our findings provide insights into the N-terminal domain function of TDP-43. © 2012 Elsevier Inc.","author":[{"dropping-particle":"","family":"Chang","given":"Chung ke","non-dropping-particle":"","parse-names":false,"suffix":""},{"dropping-particle":"","family":"Wu","given":"Tzong Huah","non-dropping-particle":"","parse-names":false,"suffix":""},{"dropping-particle":"","family":"Wu","given":"Chu Ya","non-dropping-particle":"","parse-names":false,"suffix":""},{"dropping-particle":"","family":"Chiang","given":"Ming hui","non-dropping-particle":"","parse-names":false,"suffix":""},{"dropping-particle":"","family":"Toh","given":"Elsie Khai Woon","non-dropping-particle":"","parse-names":false,"suffix":""},{"dropping-particle":"","family":"Hsu","given":"Yin Chih","non-dropping-particle":"","parse-names":false,"suffix":""},{"dropping-particle":"","family":"Lin","given":"Ku Feng","non-dropping-particle":"","parse-names":false,"suffix":""},{"dropping-particle":"","family":"Liao","given":"Yu heng","non-dropping-particle":"","parse-names":false,"suffix":""},{"dropping-particle":"","family":"Huang","given":"Tai huang","non-dropping-particle":"","parse-names":false,"suffix":""},{"dropping-particle":"","family":"Huang","given":"Joseph Jen Tse","non-dropping-particle":"","parse-names":false,"suffix":""}],"container-title":"Biochemical and Biophysical Research Communications","id":"ITEM-2","issue":"2","issued":{"date-parts":[["2012"]]},"page":"219-224","publisher":"Elsevier Inc.","title":"The N-terminus of TDP-43 promotes its oligomerization and enhances DNA binding affinity","type":"article-journal","volume":"425"},"uris":["http://www.mendeley.com/documents/?uuid=14097e2f-449f-4203-8763-a2434a8e4b6a","http://www.mendeley.com/documents/?uuid=6c21d13f-22c3-4b71-89b9-4bd2184e9bf5"]}],"mendeley":{"formattedCitation":"&lt;sup&gt;23,24&lt;/sup&gt;","plainTextFormattedCitation":"23,24","previouslyFormattedCitation":"&lt;sup&gt;23,24&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23,24</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0.5866</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57.25%</w:t>
            </w:r>
          </w:p>
        </w:tc>
        <w:tc>
          <w:tcPr>
            <w:tcW w:w="1797" w:type="dxa"/>
            <w:gridSpan w:val="2"/>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Transcriptional regulation. RNA splicing factor and RNA processing. </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Chromatin condensation. Response to DNA damage.</w:t>
            </w:r>
          </w:p>
        </w:tc>
        <w:tc>
          <w:tcPr>
            <w:tcW w:w="1344"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44.7 (414)</w:t>
            </w:r>
          </w:p>
        </w:tc>
        <w:tc>
          <w:tcPr>
            <w:tcW w:w="3142"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DNA/RNA-binding protein. RNA-binding is sequence specific and occur to GU-repeats of RNA molecules predominantly localized within long introns and in the 3'UTR of mRNAs</w:t>
            </w: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Neurodegenerative disorders.</w:t>
            </w:r>
            <w:r w:rsidRPr="00A32DB9">
              <w:rPr>
                <w:rFonts w:ascii="Times New Roman" w:eastAsia="Calibri" w:hAnsi="Times New Roman" w:cs="Times New Roman"/>
                <w:sz w:val="24"/>
                <w:szCs w:val="24"/>
              </w:rPr>
              <w:t xml:space="preserve"> </w:t>
            </w:r>
            <w:r w:rsidRPr="00A32DB9">
              <w:rPr>
                <w:rFonts w:ascii="Times New Roman" w:eastAsia="Calibri" w:hAnsi="Times New Roman" w:cs="Times New Roman"/>
                <w:sz w:val="24"/>
                <w:szCs w:val="24"/>
                <w:lang w:val="en-US"/>
              </w:rPr>
              <w:t xml:space="preserve">Response to DNA damage. </w:t>
            </w:r>
          </w:p>
        </w:tc>
      </w:tr>
      <w:tr w:rsidR="00A32DB9" w:rsidRPr="00A32DB9" w:rsidTr="00D55C65">
        <w:trPr>
          <w:trHeight w:val="274"/>
        </w:trPr>
        <w:tc>
          <w:tcPr>
            <w:tcW w:w="1777"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MAX</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{"citationItems":[{"id":"ITEM-1","itemData":{"DOI":"10.1016/s0092-8674(02)01284-9","ISSN":"00928674","abstract":"X-ray structures of the basic/helix-loop-helix/leucine zipper (bHLHZ) domains of Myc-Max and Mad-Max heterodimers bound to their common DNA target (Enhancer or E box hexanucleotide, 5′-CACGTG-3′) have been determined at 1.9 Å and 2.0 Å resolution, respectively. E box recognition by these two structurally similar transcription factor pairs determines whether a cell will divide and proliferate (Myc-Max) or differentiate and become quiescent (Mad-Max). Deregulation of Myc has been implicated in the development of many human cancers, including Burkitt's lymphoma, neuroblastomas, and small cell lung cancers. Both quasisymmetric heterodimers resemble the symmetric Max homodimer, albeit with marked structural differences in the coiled-coil leucine zipper regions that explain preferential homo- and heteromeric dimerization of these three evolutionarily related DNA-binding proteins. The Myc-Max heterodimer, but not its Mad-Max counterpart, dimerizes to form a bivalent heterotetramer, which explains how Myc can upregulate expression of genes with promoters bearing widely separated E boxes.","author":[{"dropping-particle":"","family":"Nair","given":"Satish K.","non-dropping-particle":"","parse-names":false,"suffix":""},{"dropping-particle":"","family":"Burley","given":"Stephen K.","non-dropping-particle":"","parse-names":false,"suffix":""}],"container-title":"Cell","id":"ITEM-1","issue":"2","issued":{"date-parts":[["2003"]]},"page":"193-205","title":"X-Ray Structures of Myc-Max and Mad-Max Recognizing DNA","type":"article-journal","volume":"112"},"uris":["http://www.mendeley.com/documents/?uuid=4dbf2278-07da-4dc8-a885-5cf0b6d8b36c","http://www.mendeley.com/documents/?uuid=d1ac2901-73b4-4465-9d14-13d7b78a292a"]}],"mendeley":{"formattedCitation":"&lt;sup&gt;25&lt;/sup&gt;","plainTextFormattedCitation":"25","previouslyFormattedCitation":"&lt;sup&gt;25&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25</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0.8189</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96.88%</w:t>
            </w:r>
          </w:p>
        </w:tc>
        <w:tc>
          <w:tcPr>
            <w:tcW w:w="1797" w:type="dxa"/>
            <w:gridSpan w:val="2"/>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Transcriptional regulation </w:t>
            </w:r>
          </w:p>
        </w:tc>
        <w:tc>
          <w:tcPr>
            <w:tcW w:w="1344"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18.3 (160)</w:t>
            </w:r>
          </w:p>
        </w:tc>
        <w:tc>
          <w:tcPr>
            <w:tcW w:w="3142"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DNA-binding to specific sequences as 5’-</w:t>
            </w:r>
            <w:proofErr w:type="gramStart"/>
            <w:r w:rsidRPr="00A32DB9">
              <w:rPr>
                <w:rFonts w:ascii="Times New Roman" w:eastAsia="Calibri" w:hAnsi="Times New Roman" w:cs="Times New Roman"/>
                <w:sz w:val="24"/>
                <w:szCs w:val="24"/>
                <w:lang w:val="en-US"/>
              </w:rPr>
              <w:t>CAC[</w:t>
            </w:r>
            <w:proofErr w:type="gramEnd"/>
            <w:r w:rsidRPr="00A32DB9">
              <w:rPr>
                <w:rFonts w:ascii="Times New Roman" w:eastAsia="Calibri" w:hAnsi="Times New Roman" w:cs="Times New Roman"/>
                <w:sz w:val="24"/>
                <w:szCs w:val="24"/>
                <w:lang w:val="en-US"/>
              </w:rPr>
              <w:t xml:space="preserve">GA]TG-3’, which </w:t>
            </w:r>
            <w:proofErr w:type="spellStart"/>
            <w:r w:rsidRPr="00A32DB9">
              <w:rPr>
                <w:rFonts w:ascii="Times New Roman" w:eastAsia="Calibri" w:hAnsi="Times New Roman" w:cs="Times New Roman"/>
                <w:sz w:val="24"/>
                <w:szCs w:val="24"/>
                <w:lang w:val="en-US"/>
              </w:rPr>
              <w:t>occures</w:t>
            </w:r>
            <w:proofErr w:type="spellEnd"/>
            <w:r w:rsidRPr="00A32DB9">
              <w:rPr>
                <w:rFonts w:ascii="Times New Roman" w:eastAsia="Calibri" w:hAnsi="Times New Roman" w:cs="Times New Roman"/>
                <w:sz w:val="24"/>
                <w:szCs w:val="24"/>
                <w:lang w:val="en-US"/>
              </w:rPr>
              <w:t xml:space="preserve"> upon formation of heterodimers MAC-MYC (activator), MAX-MAD (repressor). MAX is classified </w:t>
            </w:r>
            <w:proofErr w:type="gramStart"/>
            <w:r w:rsidRPr="00A32DB9">
              <w:rPr>
                <w:rFonts w:ascii="Times New Roman" w:eastAsia="Calibri" w:hAnsi="Times New Roman" w:cs="Times New Roman"/>
                <w:sz w:val="24"/>
                <w:szCs w:val="24"/>
                <w:lang w:val="en-US"/>
              </w:rPr>
              <w:t>as  helix</w:t>
            </w:r>
            <w:proofErr w:type="gramEnd"/>
            <w:r w:rsidRPr="00A32DB9">
              <w:rPr>
                <w:rFonts w:ascii="Times New Roman" w:eastAsia="Calibri" w:hAnsi="Times New Roman" w:cs="Times New Roman"/>
                <w:sz w:val="24"/>
                <w:szCs w:val="24"/>
                <w:lang w:val="en-US"/>
              </w:rPr>
              <w:t>-loop-helix protein.</w:t>
            </w:r>
          </w:p>
        </w:tc>
        <w:tc>
          <w:tcPr>
            <w:tcW w:w="2050"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Abnormalities of cellular development and proliferation, apoptosis. Associated with progression multiple types of </w:t>
            </w:r>
            <w:proofErr w:type="spellStart"/>
            <w:r w:rsidRPr="00A32DB9">
              <w:rPr>
                <w:rFonts w:ascii="Times New Roman" w:eastAsia="Calibri" w:hAnsi="Times New Roman" w:cs="Times New Roman"/>
                <w:sz w:val="24"/>
                <w:szCs w:val="24"/>
                <w:lang w:val="en-US"/>
              </w:rPr>
              <w:t>cance</w:t>
            </w:r>
            <w:proofErr w:type="spellEnd"/>
            <w:r w:rsidRPr="00A32DB9">
              <w:rPr>
                <w:rFonts w:ascii="Times New Roman" w:eastAsia="Calibri" w:hAnsi="Times New Roman" w:cs="Times New Roman"/>
                <w:sz w:val="24"/>
                <w:szCs w:val="24"/>
                <w:lang w:val="en-US"/>
              </w:rPr>
              <w:t xml:space="preserve">. </w:t>
            </w:r>
          </w:p>
        </w:tc>
      </w:tr>
      <w:tr w:rsidR="00A32DB9" w:rsidRPr="00A32DB9" w:rsidTr="00A32DB9">
        <w:trPr>
          <w:trHeight w:val="274"/>
        </w:trPr>
        <w:tc>
          <w:tcPr>
            <w:tcW w:w="10110" w:type="dxa"/>
            <w:gridSpan w:val="6"/>
            <w:shd w:val="clear" w:color="auto" w:fill="FBD4B4"/>
          </w:tcPr>
          <w:p w:rsidR="00A32DB9" w:rsidRPr="00A32DB9" w:rsidRDefault="00A32DB9" w:rsidP="00A32DB9">
            <w:pPr>
              <w:jc w:val="center"/>
              <w:rPr>
                <w:rFonts w:ascii="Times New Roman" w:eastAsia="Calibri" w:hAnsi="Times New Roman" w:cs="Times New Roman"/>
                <w:b/>
                <w:sz w:val="24"/>
                <w:szCs w:val="24"/>
                <w:lang w:val="en-US"/>
              </w:rPr>
            </w:pPr>
          </w:p>
          <w:p w:rsidR="00A32DB9" w:rsidRPr="00A32DB9" w:rsidRDefault="00A32DB9" w:rsidP="00A32DB9">
            <w:pPr>
              <w:jc w:val="center"/>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DNA and RNA machinery</w:t>
            </w:r>
          </w:p>
          <w:p w:rsidR="00A32DB9" w:rsidRPr="00A32DB9" w:rsidRDefault="00A32DB9" w:rsidP="00A32DB9">
            <w:pPr>
              <w:jc w:val="center"/>
              <w:rPr>
                <w:rFonts w:ascii="Times New Roman" w:eastAsia="Calibri" w:hAnsi="Times New Roman" w:cs="Times New Roman"/>
                <w:b/>
                <w:sz w:val="24"/>
                <w:szCs w:val="24"/>
                <w:lang w:val="en-US"/>
              </w:rPr>
            </w:pPr>
          </w:p>
        </w:tc>
      </w:tr>
      <w:tr w:rsidR="00A32DB9" w:rsidRPr="00341FF8" w:rsidTr="00D55C65">
        <w:trPr>
          <w:trHeight w:val="274"/>
        </w:trPr>
        <w:tc>
          <w:tcPr>
            <w:tcW w:w="1777"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NPM1</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{"citationItems":[{"id":"ITEM-1","itemData":{"DOI":"10.1038/s41467-018-03255-3","ISSN":"20411723","PMID":"29483575","abstract":"Nucleophosmin (NPM1) is an abundant, oligomeric protein in the granular component of the nucleolus with roles in ribosome biogenesis. Pentameric NPM1 undergoes liquid-liquid phase separation (LLPS) via heterotypic interactions with nucleolar components, including ribosomal RNA (rRNA) and proteins which display multivalent arginine-rich linear motifs (R-motifs), and is integral to the liquid-like nucleolar matrix. Here we show that NPM1 can also undergo LLPS via homotypic interactions between its polyampholytic intrinsically disordered regions, a mechanism that opposes LLPS via heterotypic interactions. Using a combination of biophysical techniques, including confocal microscopy, SAXS, analytical ultracentrifugation, and single-molecule fluorescence, we describe how conformational changes within NPM1 control valency and switching between the different LLPS mechanisms. We propose that this newly discovered interplay between multiple LLPS mechanisms may influence the direction of vectorial pre-ribosomal particle assembly within, and exit from the nucleolus as part of the ribosome biogenesis process.","author":[{"dropping-particle":"","family":"Mitrea","given":"Diana M.","non-dropping-particle":"","parse-names":false,"suffix":""},{"dropping-particle":"","family":"Cika","given":"Jaclyn A.","non-dropping-particle":"","parse-names":false,"suffix":""},{"dropping-particle":"","family":"Stanley","given":"Christopher B.","non-dropping-particle":"","parse-names":false,"suffix":""},{"dropping-particle":"","family":"Nourse","given":"Amanda","non-dropping-particle":"","parse-names":false,"suffix":""},{"dropping-particle":"","family":"Onuchic","given":"Paulo L.","non-dropping-particle":"","parse-names":false,"suffix":""},{"dropping-particle":"","family":"Banerjee","given":"Priya R.","non-dropping-particle":"","parse-names":false,"suffix":""},{"dropping-particle":"","family":"Phillips","given":"Aaron H.","non-dropping-particle":"","parse-names":false,"suffix":""},{"dropping-particle":"","family":"Park","given":"Cheon Gil","non-dropping-particle":"","parse-names":false,"suffix":""},{"dropping-particle":"","family":"Deniz","given":"Ashok A.","non-dropping-particle":"","parse-names":false,"suffix":""},{"dropping-particle":"","family":"Kriwacki","given":"Richard W.","non-dropping-particle":"","parse-names":false,"suffix":""}],"container-title":"Nature Communications","id":"ITEM-1","issue":"1","issued":{"date-parts":[["2018"]]},"page":"1-13","publisher":"Springer US","title":"Self-interaction of NPM1 modulates multiple mechanisms of liquid-liquid phase separation","type":"article-journal","volume":"9"},"uris":["http://www.mendeley.com/documents/?uuid=0486229e-d3e6-4065-b087-e221e2c36292","http://www.mendeley.com/documents/?uuid=f591cd81-185a-4606-8e53-96bb948e853a"]},{"id":"ITEM-2","itemData":{"DOI":"10.1093/pnasnexus/pgac303","ISSN":"27526542","abstract":"How the self-assembly of partially disordered proteins generates functional compartments in the cytoplasm and particularly in the nucleus is poorly understood. Nucleophosmin 1 (NPM1) is an abundant nucleolar protein that forms large oligomers and undergoes liquid–liquid phase separation by binding RNA or ribosomal proteins. It provides the scaffold for ribosome assembly but also prevents protein aggregation as part of the cellular stress response. Here, we use aggregation assays and native mass spectrometry (MS) to examine the relationship between the self-assembly and chaperone activity of NPM1. We find that oligomerization of full-length NPM1 modulates its ability to retard amyloid formation in vitro. Machine learning-based structure prediction and cryo-electron microscopy reveal fuzzy interactions between the acidic disordered region and the C-terminal nucleotide-binding domain, which cross-link NPM1 pentamers into partially disordered oligomers. The addition of basic peptides results in a tighter association within the oligomers, reducing their capacity to prevent amyloid formation. Together, our findings show that NPM1 uses a “grappling hook” mechanism to form a network-like structure that traps aggregation-prone proteins. Nucleolar proteins and RNAs simultaneously modulate the association strength and chaperone activity, suggesting a mechanism by which nucleolar composition regulates the chaperone activity of NPM1.","author":[{"dropping-particle":"","family":"Saluri","given":"Mihkel","non-dropping-particle":"","parse-names":false,"suffix":""},{"dropping-particle":"","family":"Leppert","given":"Axel","non-dropping-particle":"","parse-names":false,"suffix":""},{"dropping-particle":"","family":"Gese","given":"Genis Valentin","non-dropping-particle":"","parse-names":false,"suffix":""},{"dropping-particle":"","family":"Sahin","given":"Cagla","non-dropping-particle":"","parse-names":false,"suffix":""},{"dropping-particle":"","family":"Lama","given":"Dilraj","non-dropping-particle":"","parse-names":false,"suffix":""},{"dropping-particle":"","family":"Kaldmäe","given":"Margit","non-dropping-particle":"","parse-names":false,"suffix":""},{"dropping-particle":"","family":"Chen","given":"Gefei","non-dropping-particle":"","parse-names":false,"suffix":""},{"dropping-particle":"","family":"Elofsson","given":"Arne","non-dropping-particle":"","parse-names":false,"suffix":""},{"dropping-particle":"","family":"Allison","given":"Timothy M","non-dropping-particle":"","parse-names":false,"suffix":""},{"dropping-particle":"","family":"Arsenian-Henriksson","given":"Marie","non-dropping-particle":"","parse-names":false,"suffix":""},{"dropping-particle":"","family":"Johansson","given":"Jan","non-dropping-particle":"","parse-names":false,"suffix":""},{"dropping-particle":"","family":"Lane","given":"David P","non-dropping-particle":"","parse-names":false,"suffix":""},{"dropping-particle":"","family":"Hällberg","given":"B Martin","non-dropping-particle":"","parse-names":false,"suffix":""},{"dropping-particle":"","family":"Landreh","given":"Michael","non-dropping-particle":"","parse-names":false,"suffix":""}],"container-title":"PNAS Nexus","id":"ITEM-2","issue":"2","issued":{"date-parts":[["2023"]]},"page":"1-9","title":"A “grappling hook” interaction connects self-assembly and chaperone activity of Nucleophosmin 1","type":"article-journal","volume":"2"},"uris":["http://www.mendeley.com/documents/?uuid=63522886-a4fb-4d04-8215-7356aaf0ff5f","http://www.mendeley.com/documents/?uuid=c53fe584-b905-4701-a441-08665d951f4c"]}],"mendeley":{"formattedCitation":"&lt;sup&gt;26,27&lt;/sup&gt;","plainTextFormattedCitation":"26,27","previouslyFormattedCitation":"&lt;sup&gt;26,27&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26,27</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0.6614</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61.22%</w:t>
            </w:r>
          </w:p>
        </w:tc>
        <w:tc>
          <w:tcPr>
            <w:tcW w:w="1797" w:type="dxa"/>
            <w:gridSpan w:val="2"/>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Ribosome biogenesis, centrosome duplication, protein chaperoning, histone assembly, cell proliferation.</w:t>
            </w:r>
          </w:p>
        </w:tc>
        <w:tc>
          <w:tcPr>
            <w:tcW w:w="1344"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32.6 (294)</w:t>
            </w:r>
          </w:p>
        </w:tc>
        <w:tc>
          <w:tcPr>
            <w:tcW w:w="3142"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DNA/RNA-binding protein participating in fuzzy </w:t>
            </w:r>
            <w:proofErr w:type="gramStart"/>
            <w:r w:rsidRPr="00A32DB9">
              <w:rPr>
                <w:rFonts w:ascii="Times New Roman" w:eastAsia="Calibri" w:hAnsi="Times New Roman" w:cs="Times New Roman"/>
                <w:sz w:val="24"/>
                <w:szCs w:val="24"/>
                <w:lang w:val="en-US"/>
              </w:rPr>
              <w:t>interactions  upon</w:t>
            </w:r>
            <w:proofErr w:type="gramEnd"/>
            <w:r w:rsidRPr="00A32DB9">
              <w:rPr>
                <w:rFonts w:ascii="Times New Roman" w:eastAsia="Calibri" w:hAnsi="Times New Roman" w:cs="Times New Roman"/>
                <w:sz w:val="24"/>
                <w:szCs w:val="24"/>
                <w:lang w:val="en-US"/>
              </w:rPr>
              <w:t xml:space="preserve"> complex formation. NPM1 has a modular structure with folded N-terminal and C-terminal domains linked by an intrinsically disordered region. NPM1 can form homo- or hetero-oligomers through its N-terminal region, and bind DNA and RNA through its C-terminal region.</w:t>
            </w: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An aberrant cytoplasmic accumulation of the protein in leukemic cells leads to Acute Myeloid Leukemia (AML). Cancer progression process</w:t>
            </w:r>
          </w:p>
        </w:tc>
      </w:tr>
      <w:tr w:rsidR="00A32DB9" w:rsidRPr="00341FF8" w:rsidTr="00D55C65">
        <w:trPr>
          <w:trHeight w:val="274"/>
        </w:trPr>
        <w:tc>
          <w:tcPr>
            <w:tcW w:w="1777"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Ddx4</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{"citationItems":[{"id":"ITEM-1","itemData":{"DOI":"10.1007/s00018-021-04069-1","ISBN":"0123456789","ISSN":"14209071","PMID":"34921622","abstract":"The segregation and maintenance of a dedicated germline in multicellular organisms is essential for species propagation in the sexually reproducing metazoan kingdom. The germline is distinct from somatic cells in that it is ultimately dedicated to acquiring the “totipotency” and to regenerating the offspring after fertilization. The most striking feature of germ cells lies in the presence of characteristic membraneless germ granules that have recently proven to behave like liquid droplets resulting from liquid–liquid phase separation (LLPS). Vasa/Ddx4, a faithful DEAD-box family germline marker highly conserved across metazoan species, harbors canonical DEAD-box motifs and typical intrinsically disordered sequences at both the N-terminus and C-terminus. This feature enables it to serve as a primary driving force behind germ granule formation and helicase-mediated RNA metabolism (e.g., piRNA biogenesis). Genetic ablation of Vasa/Ddx4 or the catalytic-dead mutations abolishing its helicase activity led to sexually dimorphic germline defects resulting in either male or female sterility among diverse species. While recent efforts have discovered pivotal functions of Vasa/Ddx4 in somatic cells, especially in multipotent stem cells, we herein summarize the helicase-dependent and -independent functions of Vasa/Ddx4 in the germline, and discuss recent findings of Vasa/Ddx4-mediated phase separation, germ granule formation and piRNA-dependent retrotransposon control essential for germline development.","author":[{"dropping-particle":"","family":"Xu","given":"Caoling","non-dropping-particle":"","parse-names":false,"suffix":""},{"dropping-particle":"","family":"Cao","given":"Yuzhu","non-dropping-particle":"","parse-names":false,"suffix":""},{"dropping-particle":"","family":"Bao","given":"Jianqiang","non-dropping-particle":"","parse-names":false,"suffix":""}],"container-title":"Cellular and Molecular Life Sciences","id":"ITEM-1","issue":"1","issued":{"date-parts":[["2022"]]},"page":"1-15","publisher":"Springer International Publishing","title":"Building RNA-protein germ granules: insights from the multifaceted functions of DEAD-box helicase Vasa/Ddx4 in germline development","type":"article-journal","volume":"79"},"uris":["http://www.mendeley.com/documents/?uuid=1b78d6b9-cc80-47c0-861a-3dc0108c952b","http://www.mendeley.com/documents/?uuid=6f6f0296-9dcc-4aa6-b9e6-c8bd68f78789"]},{"id":"ITEM-2","itemData":{"DOI":"10.1073/pnas.1706197114","ISSN":"10916490","PMID":"28894006","abstract":"Membrane encapsulation is frequently used by the cell to sequester biomolecules and compartmentalize their function. Cells also concentrate molecules into phase-separated protein or protein/nucleic acid “membraneless organelles” that regulate a host of biochemical processes. Here, we use solution NMR spectroscopy to study phase-separated droplets formed from the intrinsically disordered N-terminal 236 residues of the germ-granule protein Ddx4. We show that the protein within the concentrated phase of phase-separated Ddx4, Ddx4cond, diffuses as a particle of 600-nm hydrodynamic radius dissolved in water. However, NMR spectra reveal sharp resonances with chemical shifts showing Ddx4cond to be intrinsically disordered. Spin relaxation measurements indicate that the backbone amides of Ddx4cond have significant mobility, explaining why high-resolution spectra are observed, but motion is reduced compared with an equivalently concentrated nonphase-separating control. Observation of a network of interchain interactions, as established by NOE spectroscopy, shows the importance of Phe and Arg interactions in driving the phase separation of Ddx4, while the salt dependence of both low- and high-concentration regions of phase diagrams establishes an important role for electrostatic interactions. The diffusion of a series of small probes and the compact but disordered 4E binding protein 2 (4E-BP2) protein in Ddx4cond are explained by an excluded volume effect, similar to that found for globular protein solvents. No changes in structural propensities of 4E-BP2 dissolved in Ddx4cond are observed, while changes to DNA and RNA molecules have been reported, highlighting the diverse roles that proteinaceous solvents play in dictating the properties of dissolved solutes.","author":[{"dropping-particle":"","family":"Brady","given":"Jacob P.","non-dropping-particle":"","parse-names":false,"suffix":""},{"dropping-particle":"","family":"Farber","given":"Patrick J.","non-dropping-particle":"","parse-names":false,"suffix":""},{"dropping-particle":"","family":"Sekhar","given":"Ashok","non-dropping-particle":"","parse-names":false,"suffix":""},{"dropping-particle":"","family":"Lin","given":"Yi Hsuan","non-dropping-particle":"","parse-names":false,"suffix":""},{"dropping-particle":"","family":"Huang","given":"Rui","non-dropping-particle":"","parse-names":false,"suffix":""},{"dropping-particle":"","family":"Bah","given":"Alaji","non-dropping-particle":"","parse-names":false,"suffix":""},{"dropping-particle":"","family":"Nott","given":"Timothy J.","non-dropping-particle":"","parse-names":false,"suffix":""},{"dropping-particle":"","family":"Chan","given":"Hue Sun","non-dropping-particle":"","parse-names":false,"suffix":""},{"dropping-particle":"","family":"Baldwin","given":"Andrew J.","non-dropping-particle":"","parse-names":false,"suffix":""},{"dropping-particle":"","family":"Forman-Kay","given":"Julie D.","non-dropping-particle":"","parse-names":false,"suffix":""},{"dropping-particle":"","family":"Kay","given":"Lewis E.","non-dropping-particle":"","parse-names":false,"suffix":""}],"container-title":"Proceedings of the National Academy of Sciences of the United States of America","id":"ITEM-2","issue":"39","issued":{"date-parts":[["2017"]]},"page":"E8194-E8203","title":"Structural and hydrodynamic properties of an intrinsically disordered region of a germ cell-specific protein on phase separation","type":"article-journal","volume":"114"},"uris":["http://www.mendeley.com/documents/?uuid=8617e386-dff9-4955-ab7d-ddb9da9a3e11","http://www.mendeley.com/documents/?uuid=0193dc0c-ec49-481c-9f41-c61ce582b59a"]}],"mendeley":{"formattedCitation":"&lt;sup&gt;28,29&lt;/sup&gt;","plainTextFormattedCitation":"28,29","previouslyFormattedCitation":"&lt;sup&gt;28,29&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28,29</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0.5137</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45.03%</w:t>
            </w:r>
          </w:p>
        </w:tc>
        <w:tc>
          <w:tcPr>
            <w:tcW w:w="1797" w:type="dxa"/>
            <w:gridSpan w:val="2"/>
          </w:tcPr>
          <w:p w:rsidR="00A32DB9" w:rsidRPr="00A32DB9" w:rsidRDefault="00A32DB9" w:rsidP="00A32DB9">
            <w:pPr>
              <w:jc w:val="both"/>
              <w:rPr>
                <w:rFonts w:ascii="Times New Roman" w:eastAsia="Calibri" w:hAnsi="Times New Roman" w:cs="Times New Roman"/>
                <w:b/>
                <w:sz w:val="24"/>
                <w:szCs w:val="24"/>
                <w:lang w:val="en-US"/>
              </w:rPr>
            </w:pPr>
            <w:r w:rsidRPr="00A32DB9">
              <w:rPr>
                <w:rFonts w:ascii="Times New Roman" w:eastAsia="Calibri" w:hAnsi="Times New Roman" w:cs="Times New Roman"/>
                <w:sz w:val="24"/>
                <w:szCs w:val="24"/>
                <w:lang w:val="en-US"/>
              </w:rPr>
              <w:t xml:space="preserve">Helicase-mediated RNA metabolism (e.g., </w:t>
            </w:r>
            <w:proofErr w:type="spellStart"/>
            <w:r w:rsidRPr="00A32DB9">
              <w:rPr>
                <w:rFonts w:ascii="Times New Roman" w:eastAsia="Calibri" w:hAnsi="Times New Roman" w:cs="Times New Roman"/>
                <w:sz w:val="24"/>
                <w:szCs w:val="24"/>
                <w:lang w:val="en-US"/>
              </w:rPr>
              <w:t>piRNA</w:t>
            </w:r>
            <w:proofErr w:type="spellEnd"/>
            <w:r w:rsidRPr="00A32DB9">
              <w:rPr>
                <w:rFonts w:ascii="Times New Roman" w:eastAsia="Calibri" w:hAnsi="Times New Roman" w:cs="Times New Roman"/>
                <w:sz w:val="24"/>
                <w:szCs w:val="24"/>
                <w:lang w:val="en-US"/>
              </w:rPr>
              <w:t xml:space="preserve"> biogenesis), </w:t>
            </w:r>
            <w:proofErr w:type="spellStart"/>
            <w:r w:rsidRPr="00A32DB9">
              <w:rPr>
                <w:rFonts w:ascii="Times New Roman" w:eastAsia="Calibri" w:hAnsi="Times New Roman" w:cs="Times New Roman"/>
                <w:sz w:val="24"/>
                <w:szCs w:val="24"/>
                <w:lang w:val="en-US"/>
              </w:rPr>
              <w:t>piRNA</w:t>
            </w:r>
            <w:proofErr w:type="spellEnd"/>
            <w:r w:rsidRPr="00A32DB9">
              <w:rPr>
                <w:rFonts w:ascii="Times New Roman" w:eastAsia="Calibri" w:hAnsi="Times New Roman" w:cs="Times New Roman"/>
                <w:sz w:val="24"/>
                <w:szCs w:val="24"/>
                <w:lang w:val="en-US"/>
              </w:rPr>
              <w:t xml:space="preserve">-dependent retrotransposon control and repression of transposable elements, germ granule formation, </w:t>
            </w:r>
          </w:p>
        </w:tc>
        <w:tc>
          <w:tcPr>
            <w:tcW w:w="1344"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79.3 (724)</w:t>
            </w:r>
          </w:p>
        </w:tc>
        <w:tc>
          <w:tcPr>
            <w:tcW w:w="3142"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DNA/RNA-binding protein. DEAD-box helicases containing protein. Complex is still not comprehensively investigated</w:t>
            </w: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Cell cycle progression of cancer cells. </w:t>
            </w:r>
            <w:proofErr w:type="spellStart"/>
            <w:r w:rsidRPr="00A32DB9">
              <w:rPr>
                <w:rFonts w:ascii="Times New Roman" w:eastAsia="Calibri" w:hAnsi="Times New Roman" w:cs="Times New Roman"/>
                <w:sz w:val="24"/>
                <w:szCs w:val="24"/>
                <w:lang w:val="en-US"/>
              </w:rPr>
              <w:t>Germline</w:t>
            </w:r>
            <w:proofErr w:type="spellEnd"/>
            <w:r w:rsidRPr="00A32DB9">
              <w:rPr>
                <w:rFonts w:ascii="Times New Roman" w:eastAsia="Calibri" w:hAnsi="Times New Roman" w:cs="Times New Roman"/>
                <w:sz w:val="24"/>
                <w:szCs w:val="24"/>
                <w:lang w:val="en-US"/>
              </w:rPr>
              <w:t xml:space="preserve"> integrity and spermatogenesis</w:t>
            </w:r>
          </w:p>
        </w:tc>
      </w:tr>
      <w:tr w:rsidR="00A32DB9" w:rsidRPr="00341FF8" w:rsidTr="00D55C65">
        <w:trPr>
          <w:trHeight w:val="274"/>
        </w:trPr>
        <w:tc>
          <w:tcPr>
            <w:tcW w:w="1777"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SSB</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{"citationItems":[{"id":"ITEM-1","itemData":{"DOI":"10.1016/j.jmb.2015.12.007","ISSN":"10898638","PMID":"26707201","abstract":"The bacterial single-stranded DNA (ssDNA) binding protein SSB is a strictly conserved and essential protein involved in diverse functions of DNA metabolism, including replication and repair. SSB comprises a well-characterized tetrameric core of N-terminal oligonucleotide binding OB folds that bind ssDNA and four intrinsically disordered C-terminal domains of unknown structure that interact with partner proteins. The generally accepted, albeit speculative, mechanistic model in the field postulates that binding of ssDNA to the OB core induces the flexible, undefined C-terminal arms to expand outwards encouraging functional interactions with partner proteins. In this structural study, we show that the opposite is true. Combined small-angle scattering with X-rays and neutrons coupled to coarse-grained modeling reveal that the intrinsically disordered C-terminal arms are relatively collapsed around the tetrameric OB core and collapse further upon ssDNA binding. This implies a mechanism of action, in which the disordered C-terminal domain collapse traps the ssDNA and pulls functional partners onto the ssDNA.","author":[{"dropping-particle":"","family":"Green","given":"Matthew","non-dropping-particle":"","parse-names":false,"suffix":""},{"dropping-particle":"","family":"Hatter","given":"Louise","non-dropping-particle":"","parse-names":false,"suffix":""},{"dropping-particle":"","family":"Brookes","given":"Emre","non-dropping-particle":"","parse-names":false,"suffix":""},{"dropping-particle":"","family":"Soultanas","given":"Panos","non-dropping-particle":"","parse-names":false,"suffix":""},{"dropping-particle":"","family":"Scott","given":"David J.","non-dropping-particle":"","parse-names":false,"suffix":""}],"container-title":"Journal of Molecular Biology","id":"ITEM-1","issue":"2","issued":{"date-parts":[["2016"]]},"page":"357-364","publisher":"Elsevier Ltd","title":"Defining the Intrinsically Disordered C-Terminal Domain of SSB Reveals DNA-Mediated Compaction","type":"article-journal","volume":"428"},"uris":["http://www.mendeley.com/documents/?uuid=56b6d5ee-c002-45ab-9214-085dd9b27997"]},{"id":"ITEM-2","itemData":{"DOI":"10.1074/jbc.M110.118273","ISSN":"00219258","PMID":"20360609","abstract":"The homotetrameric Escherichia coli single-stranded DNA-binding (SSB) protein plays a central role in DNA replication, repair, and recombination. In addition to its essential activity of binding to transiently formed single-stranded (ss) DNA, SSB also binds an array of partner proteins and recruits them to their sites of action using its four intrinsically disordered C-terminal tails. Here we show that the binding of ssDNA to SSB is inhibited by the SSB C-terminal tails, specifically by the last 8 highly acidic amino acids that comprise the binding site for its multiple partner proteins. We examined the energetics of ssDNA binding to short oligodeoxynucleotides and find that at moderate salt concentration, removal of the acidic C-terminal ends increases the intrinsic affinity for ssDNA and enhances the negative cooperativity between ssDNA binding sites, indicating that the C termini exert an inhibitory effect on ssDNA binding. This inhibitory effect decreases as the salt concentration increases. Binding of ssDNA to approximately half of the SSB subunits relieves the inhibitory effect for all of the subunits. The inhibition by the C termini is due primarily to a less favorable entropy change upon ssDNA binding. These observations explain why ssDNA binding to SSB enhances the affinity of SSB for its partner proteins and suggest that the C termini of SSB may interact, at least transiently, with its ssDNA binding sites. This inhibition and its relief by ssDNA binding suggest a mechanism that enhances the ability of SSB to selectively recruit its partner proteins to sites on DNA. © 2010 by The American Society for Biochemistry and Molecular Biology, Inc.","author":[{"dropping-particle":"","family":"Kozlov","given":"Alexander G.","non-dropping-particle":"","parse-names":false,"suffix":""},{"dropping-particle":"","family":"Cox","given":"Michael M.","non-dropping-particle":"","parse-names":false,"suffix":""},{"dropping-particle":"","family":"Lohman","given":"Timothy M.","non-dropping-particle":"","parse-names":false,"suffix":""}],"container-title":"Journal of Biological Chemistry","id":"ITEM-2","issue":"22","issued":{"date-parts":[["2010"]]},"page":"17246-17252","publisher":"Â© 2010 ASBMB. Currently published by Elsevier Inc; originally published by American Society for Biochemistry and Molecular Biology.","title":"Regulation of single-stranded DNA binding by the C termini of Escherichia coli single-stranded DNA-binding (SSB) protein","type":"article-journal","volume":"285"},"uris":["http://www.mendeley.com/documents/?uuid=e0cae0ed-356f-4bd1-8e61-a26bf7cd3c94","http://www.mendeley.com/documents/?uuid=aa0f6a8e-6493-4d45-a4b7-4c256dc9844b"]}],"mendeley":{"formattedCitation":"&lt;sup&gt;30,31&lt;/sup&gt;","plainTextFormattedCitation":"30,31","previouslyFormattedCitation":"&lt;sup&gt;30,31&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30,31</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0.6032</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57.30%</w:t>
            </w:r>
          </w:p>
        </w:tc>
        <w:tc>
          <w:tcPr>
            <w:tcW w:w="1797" w:type="dxa"/>
            <w:gridSpan w:val="2"/>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DNA replication, recombination and repair</w:t>
            </w:r>
          </w:p>
        </w:tc>
        <w:tc>
          <w:tcPr>
            <w:tcW w:w="1344"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19.0 (178)</w:t>
            </w:r>
          </w:p>
        </w:tc>
        <w:tc>
          <w:tcPr>
            <w:tcW w:w="3142"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Single stranded DNA-binding protein, without significant sequence specificity. Acts as a sliding platform that migrates </w:t>
            </w:r>
            <w:r w:rsidRPr="00A32DB9">
              <w:rPr>
                <w:rFonts w:ascii="Times New Roman" w:eastAsia="Calibri" w:hAnsi="Times New Roman" w:cs="Times New Roman"/>
                <w:sz w:val="24"/>
                <w:szCs w:val="24"/>
                <w:lang w:val="en-US"/>
              </w:rPr>
              <w:lastRenderedPageBreak/>
              <w:t xml:space="preserve">on DNA via </w:t>
            </w:r>
            <w:proofErr w:type="spellStart"/>
            <w:r w:rsidRPr="00A32DB9">
              <w:rPr>
                <w:rFonts w:ascii="Times New Roman" w:eastAsia="Calibri" w:hAnsi="Times New Roman" w:cs="Times New Roman"/>
                <w:sz w:val="24"/>
                <w:szCs w:val="24"/>
                <w:lang w:val="en-US"/>
              </w:rPr>
              <w:t>reptation</w:t>
            </w:r>
            <w:proofErr w:type="spellEnd"/>
            <w:r w:rsidRPr="00A32DB9">
              <w:rPr>
                <w:rFonts w:ascii="Times New Roman" w:eastAsia="Calibri" w:hAnsi="Times New Roman" w:cs="Times New Roman"/>
                <w:sz w:val="24"/>
                <w:szCs w:val="24"/>
                <w:lang w:val="en-US"/>
              </w:rPr>
              <w:t xml:space="preserve">. Protein undergoes compaction upon binding to DNA. Forms </w:t>
            </w:r>
            <w:proofErr w:type="spellStart"/>
            <w:r w:rsidRPr="00A32DB9">
              <w:rPr>
                <w:rFonts w:ascii="Times New Roman" w:eastAsia="Calibri" w:hAnsi="Times New Roman" w:cs="Times New Roman"/>
                <w:sz w:val="24"/>
                <w:szCs w:val="24"/>
                <w:lang w:val="en-US"/>
              </w:rPr>
              <w:t>homotetramer</w:t>
            </w:r>
            <w:proofErr w:type="spellEnd"/>
            <w:r w:rsidRPr="00A32DB9">
              <w:rPr>
                <w:rFonts w:ascii="Times New Roman" w:eastAsia="Calibri" w:hAnsi="Times New Roman" w:cs="Times New Roman"/>
                <w:sz w:val="24"/>
                <w:szCs w:val="24"/>
                <w:lang w:val="en-US"/>
              </w:rPr>
              <w:t>.</w:t>
            </w:r>
          </w:p>
        </w:tc>
        <w:tc>
          <w:tcPr>
            <w:tcW w:w="2050" w:type="dxa"/>
            <w:tcBorders>
              <w:bottom w:val="single" w:sz="4" w:space="0" w:color="auto"/>
            </w:tcBorders>
          </w:tcPr>
          <w:p w:rsidR="00A32DB9" w:rsidRPr="00A32DB9" w:rsidRDefault="00A32DB9" w:rsidP="00A32DB9">
            <w:pPr>
              <w:jc w:val="both"/>
              <w:rPr>
                <w:rFonts w:ascii="Times New Roman" w:eastAsia="Calibri" w:hAnsi="Times New Roman" w:cs="Times New Roman"/>
                <w:sz w:val="24"/>
                <w:szCs w:val="24"/>
                <w:lang w:val="en-US"/>
              </w:rPr>
            </w:pPr>
          </w:p>
        </w:tc>
      </w:tr>
      <w:tr w:rsidR="00A32DB9" w:rsidRPr="00341FF8" w:rsidTr="00A32DB9">
        <w:trPr>
          <w:trHeight w:val="274"/>
        </w:trPr>
        <w:tc>
          <w:tcPr>
            <w:tcW w:w="10110" w:type="dxa"/>
            <w:gridSpan w:val="6"/>
            <w:shd w:val="clear" w:color="auto" w:fill="E5B8B7"/>
          </w:tcPr>
          <w:p w:rsidR="00A32DB9" w:rsidRPr="00A32DB9" w:rsidRDefault="00A32DB9" w:rsidP="00A32DB9">
            <w:pPr>
              <w:jc w:val="center"/>
              <w:rPr>
                <w:rFonts w:ascii="Times New Roman" w:eastAsia="Calibri" w:hAnsi="Times New Roman" w:cs="Times New Roman"/>
                <w:b/>
                <w:sz w:val="24"/>
                <w:szCs w:val="24"/>
                <w:lang w:val="en-US"/>
              </w:rPr>
            </w:pPr>
          </w:p>
          <w:p w:rsidR="00A32DB9" w:rsidRPr="00A32DB9" w:rsidRDefault="00A32DB9" w:rsidP="00A32DB9">
            <w:pPr>
              <w:jc w:val="center"/>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Others</w:t>
            </w:r>
          </w:p>
          <w:p w:rsidR="00A32DB9" w:rsidRPr="00A32DB9" w:rsidRDefault="00A32DB9" w:rsidP="00A32DB9">
            <w:pPr>
              <w:jc w:val="center"/>
              <w:rPr>
                <w:rFonts w:ascii="Times New Roman" w:eastAsia="Calibri" w:hAnsi="Times New Roman" w:cs="Times New Roman"/>
                <w:b/>
                <w:sz w:val="24"/>
                <w:szCs w:val="24"/>
                <w:lang w:val="en-US"/>
              </w:rPr>
            </w:pPr>
          </w:p>
        </w:tc>
      </w:tr>
      <w:tr w:rsidR="00A32DB9" w:rsidRPr="00341FF8" w:rsidTr="00D55C65">
        <w:trPr>
          <w:trHeight w:val="274"/>
        </w:trPr>
        <w:tc>
          <w:tcPr>
            <w:tcW w:w="1777"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b/>
                <w:sz w:val="24"/>
                <w:szCs w:val="24"/>
                <w:lang w:val="en-US"/>
              </w:rPr>
              <w:t>PaaA2</w:t>
            </w:r>
            <w:r w:rsidRPr="00A32DB9">
              <w:rPr>
                <w:rFonts w:ascii="Times New Roman" w:eastAsia="Calibri" w:hAnsi="Times New Roman" w:cs="Times New Roman"/>
                <w:sz w:val="24"/>
                <w:szCs w:val="24"/>
                <w:lang w:val="en-US"/>
              </w:rPr>
              <w:t xml:space="preserve"> </w:t>
            </w:r>
            <w:r w:rsidRPr="00A32DB9">
              <w:rPr>
                <w:rFonts w:ascii="Times New Roman" w:eastAsia="Calibri" w:hAnsi="Times New Roman" w:cs="Times New Roman"/>
                <w:sz w:val="24"/>
                <w:szCs w:val="24"/>
                <w:lang w:val="en-US"/>
              </w:rPr>
              <w:fldChar w:fldCharType="begin" w:fldLock="1"/>
            </w:r>
            <w:r>
              <w:rPr>
                <w:rFonts w:ascii="Times New Roman" w:eastAsia="Calibri" w:hAnsi="Times New Roman" w:cs="Times New Roman"/>
                <w:sz w:val="24"/>
                <w:szCs w:val="24"/>
                <w:lang w:val="en-US"/>
              </w:rPr>
              <w:instrText>ADDIN CSL_CITATION {"citationItems":[{"id":"ITEM-1","itemData":{"DOI":"10.1016/j.str.2014.03.012","ISSN":"18784186","PMID":"24768114","abstract":"Summary Antitoxins from prokaryotic type II toxin-antitoxin modules are characterized by a high degree of intrinsic disorder. The description of such highly flexible proteins is challenging because they cannot be represented by a single structure. Here, we present a combination of SAXS and NMR data to describe the conformational ensemble of the PaaA2 antitoxin from the human pathogen E. coli O157. The method encompasses the use of SAXS data to filter ensembles out of a pool of conformers generated by a custom NMR structure calculation protocol and the subsequent refinement by a block jackknife procedure. The final ensemble obtained through the method is validated by an established residual dipolar coupling analysis. We show that the conformational ensemble of PaaA2 is highly compact and that the protein exists in solution as two preformed helices, connected by a flexible linker, that probably act as molecular recognition elements for toxin inhibition. © 2014 Elsevier Ltd.","author":[{"dropping-particle":"","family":"Sterckx","given":"Yann G.J.","non-dropping-particle":"","parse-names":false,"suffix":""},{"dropping-particle":"","family":"Volkov","given":"Alexander N.","non-dropping-particle":"","parse-names":false,"suffix":""},{"dropping-particle":"","family":"Vranken","given":"Wim F.","non-dropping-particle":"","parse-names":false,"suffix":""},{"dropping-particle":"","family":"Kragelj","given":"Jaka","non-dropping-particle":"","parse-names":false,"suffix":""},{"dropping-particle":"","family":"Jensen","given":"Malene Ringkjøbing","non-dropping-particle":"","parse-names":false,"suffix":""},{"dropping-particle":"","family":"Buts","given":"Lieven","non-dropping-particle":"","parse-names":false,"suffix":""},{"dropping-particle":"","family":"Garcia-Pino","given":"Abel","non-dropping-particle":"","parse-names":false,"suffix":""},{"dropping-particle":"","family":"Jové","given":"Thomas","non-dropping-particle":"","parse-names":false,"suffix":""},{"dropping-particle":"","family":"Melderen","given":"Laurence","non-dropping-particle":"Van","parse-names":false,"suffix":""},{"dropping-particle":"","family":"Blackledge","given":"Martin","non-dropping-particle":"","parse-names":false,"suffix":""},{"dropping-particle":"","family":"Nuland","given":"Nico A.J.","non-dropping-particle":"Van","parse-names":false,"suffix":""},{"dropping-particle":"","family":"Loris","given":"Remy","non-dropping-particle":"","parse-names":false,"suffix":""}],"container-title":"Structure","id":"ITEM-1","issue":"6","issued":{"date-parts":[["2014"]]},"page":"854-865","title":"Small-angle X-ray scattering- and nuclear magnetic resonance-derived conformational ensemble of the highly flexible antitoxin PaaA2","type":"article-journal","volume":"22"},"uris":["http://www.mendeley.com/documents/?uuid=4ebc53bb-ec29-4e85-b2b1-08d2a0e4f6a5"]},{"id":"ITEM-2","itemData":{"DOI":"10.1016/j.jmb.2016.03.007","ISSN":"10898638","PMID":"26996937","abstract":"Many bacterial pathogens modulate their metabolic activity, virulence and pathogenicity through so-called \"toxin-antitoxin\" (TA) modules. The genome of the human pathogen Escherichia coli O157 contains two three-component TA modules related to the known parDE module. Here, we show that the toxin EcParE2 maps in a branch of the RelE/ParE toxin superfamily that is distinct from the branches that contain verified gyrase and ribosome inhibitors. The structure of EcParE2 closely resembles that of Caulobacter crescentus ParE but shows a distinct pattern of conserved surface residues, in agreement with its apparent inability to interact with GyrA. The antitoxin EcPaaA2 is characterized by two α-helices (H1 and H2) that serve as molecular recognition elements to wrap itself around EcParE2. Both EcPaaA2 H1 and H2 are required to sustain a high-affinity interaction with EcParE2 and for the inhibition of EcParE2-mediated killing in vivo. Furthermore, evidence demonstrates that EcPaaA2 H2, but not H1, determines specificity for EcParE2. The initially formed EcPaaA2-EcParE2 heterodimer then assembles into a hetero-hexadecamer, which is stable in solution and is formed in a highly cooperative manner. Together these findings provide novel data on quaternary structure, TA interactions and activity of a hitherto poorly characterized family of TA modules.","author":[{"dropping-particle":"","family":"Sterckx","given":"Yann G.J.","non-dropping-particle":"","parse-names":false,"suffix":""},{"dropping-particle":"","family":"Jové","given":"Thomas","non-dropping-particle":"","parse-names":false,"suffix":""},{"dropping-particle":"V.","family":"Shkumatov","given":"Alexander","non-dropping-particle":"","parse-names":false,"suffix":""},{"dropping-particle":"","family":"Garcia-Pino","given":"Abel","non-dropping-particle":"","parse-names":false,"suffix":""},{"dropping-particle":"","family":"Geerts","given":"Lieselotte","non-dropping-particle":"","parse-names":false,"suffix":""},{"dropping-particle":"","family":"Kerpel","given":"Maia","non-dropping-particle":"De","parse-names":false,"suffix":""},{"dropping-particle":"","family":"Lah","given":"Jurij","non-dropping-particle":"","parse-names":false,"suffix":""},{"dropping-particle":"","family":"Greve","given":"Henri","non-dropping-particle":"De","parse-names":false,"suffix":""},{"dropping-particle":"","family":"Melderen","given":"Laurence","non-dropping-particle":"Van","parse-names":false,"suffix":""},{"dropping-particle":"","family":"Loris","given":"Remy","non-dropping-particle":"","parse-names":false,"suffix":""}],"container-title":"Journal of Molecular Biology","id":"ITEM-2","issue":"8","issued":{"date-parts":[["2016"]]},"page":"1589-1603","title":"A unique hetero-hexadecameric architecture displayed by the Escherichia coli O157 PaaA2-ParE2 antitoxin-toxin complex","type":"article-journal","volume":"428"},"uris":["http://www.mendeley.com/documents/?uuid=6f0f58c4-22b1-48e5-9d90-431a2e3bd13f","http://www.mendeley.com/documents/?uuid=353df962-5e97-4eef-bbe2-8fcd75c8bd28"]}],"mendeley":{"formattedCitation":"&lt;sup&gt;32,33&lt;/sup&gt;","plainTextFormattedCitation":"32,33","previouslyFormattedCitation":"&lt;sup&gt;32,33&lt;/sup&gt;"},"properties":{"noteIndex":0},"schema":"https://github.com/citation-style-language/schema/raw/master/csl-citation.json"}</w:instrText>
            </w:r>
            <w:r w:rsidRPr="00A32DB9">
              <w:rPr>
                <w:rFonts w:ascii="Times New Roman" w:eastAsia="Calibri" w:hAnsi="Times New Roman" w:cs="Times New Roman"/>
                <w:sz w:val="24"/>
                <w:szCs w:val="24"/>
                <w:lang w:val="en-US"/>
              </w:rPr>
              <w:fldChar w:fldCharType="separate"/>
            </w:r>
            <w:r w:rsidRPr="00A32DB9">
              <w:rPr>
                <w:rFonts w:ascii="Times New Roman" w:eastAsia="Calibri" w:hAnsi="Times New Roman" w:cs="Times New Roman"/>
                <w:noProof/>
                <w:sz w:val="24"/>
                <w:szCs w:val="24"/>
                <w:vertAlign w:val="superscript"/>
                <w:lang w:val="en-US"/>
              </w:rPr>
              <w:t>32,33</w:t>
            </w:r>
            <w:r w:rsidRPr="00A32DB9">
              <w:rPr>
                <w:rFonts w:ascii="Times New Roman" w:eastAsia="Calibri" w:hAnsi="Times New Roman" w:cs="Times New Roman"/>
                <w:sz w:val="24"/>
                <w:szCs w:val="24"/>
                <w:lang w:val="en-US"/>
              </w:rPr>
              <w:fldChar w:fldCharType="end"/>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0.2828</w:t>
            </w:r>
          </w:p>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11.96%</w:t>
            </w:r>
          </w:p>
        </w:tc>
        <w:tc>
          <w:tcPr>
            <w:tcW w:w="1797" w:type="dxa"/>
            <w:gridSpan w:val="2"/>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Type II toxin-antitoxin system </w:t>
            </w:r>
            <w:proofErr w:type="spellStart"/>
            <w:r w:rsidRPr="00A32DB9">
              <w:rPr>
                <w:rFonts w:ascii="Times New Roman" w:eastAsia="Calibri" w:hAnsi="Times New Roman" w:cs="Times New Roman"/>
                <w:sz w:val="24"/>
                <w:szCs w:val="24"/>
                <w:lang w:val="en-US"/>
              </w:rPr>
              <w:t>RelE</w:t>
            </w:r>
            <w:proofErr w:type="spellEnd"/>
            <w:r w:rsidRPr="00A32DB9">
              <w:rPr>
                <w:rFonts w:ascii="Times New Roman" w:eastAsia="Calibri" w:hAnsi="Times New Roman" w:cs="Times New Roman"/>
                <w:sz w:val="24"/>
                <w:szCs w:val="24"/>
                <w:lang w:val="en-US"/>
              </w:rPr>
              <w:t>/</w:t>
            </w:r>
            <w:proofErr w:type="spellStart"/>
            <w:r w:rsidRPr="00A32DB9">
              <w:rPr>
                <w:rFonts w:ascii="Times New Roman" w:eastAsia="Calibri" w:hAnsi="Times New Roman" w:cs="Times New Roman"/>
                <w:sz w:val="24"/>
                <w:szCs w:val="24"/>
                <w:lang w:val="en-US"/>
              </w:rPr>
              <w:t>ParE</w:t>
            </w:r>
            <w:proofErr w:type="spellEnd"/>
            <w:r w:rsidRPr="00A32DB9">
              <w:rPr>
                <w:rFonts w:ascii="Times New Roman" w:eastAsia="Calibri" w:hAnsi="Times New Roman" w:cs="Times New Roman"/>
                <w:sz w:val="24"/>
                <w:szCs w:val="24"/>
                <w:lang w:val="en-US"/>
              </w:rPr>
              <w:t xml:space="preserve"> family toxin</w:t>
            </w:r>
            <w:r w:rsidRPr="00A32DB9">
              <w:rPr>
                <w:rFonts w:ascii="Times New Roman" w:eastAsia="Calibri" w:hAnsi="Times New Roman" w:cs="Times New Roman"/>
                <w:sz w:val="24"/>
                <w:szCs w:val="24"/>
              </w:rPr>
              <w:t xml:space="preserve">.  </w:t>
            </w:r>
          </w:p>
        </w:tc>
        <w:tc>
          <w:tcPr>
            <w:tcW w:w="1344" w:type="dxa"/>
          </w:tcPr>
          <w:p w:rsidR="00A32DB9" w:rsidRPr="00A32DB9" w:rsidRDefault="00A32DB9" w:rsidP="00A32DB9">
            <w:pPr>
              <w:jc w:val="both"/>
              <w:rPr>
                <w:rFonts w:ascii="Times New Roman" w:eastAsia="Calibri" w:hAnsi="Times New Roman" w:cs="Times New Roman"/>
                <w:sz w:val="24"/>
                <w:szCs w:val="24"/>
              </w:rPr>
            </w:pPr>
            <w:r w:rsidRPr="00A32DB9">
              <w:rPr>
                <w:rFonts w:ascii="Times New Roman" w:eastAsia="Calibri" w:hAnsi="Times New Roman" w:cs="Times New Roman"/>
                <w:sz w:val="24"/>
                <w:szCs w:val="24"/>
                <w:lang w:val="en-US"/>
              </w:rPr>
              <w:t>10.7 (92)</w:t>
            </w:r>
          </w:p>
        </w:tc>
        <w:tc>
          <w:tcPr>
            <w:tcW w:w="3142"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 xml:space="preserve">Binding of PaaA2 to ParE2 through conformational selection, </w:t>
            </w:r>
            <w:proofErr w:type="spellStart"/>
            <w:r w:rsidRPr="00A32DB9">
              <w:rPr>
                <w:rFonts w:ascii="Times New Roman" w:eastAsia="Calibri" w:hAnsi="Times New Roman" w:cs="Times New Roman"/>
                <w:sz w:val="24"/>
                <w:szCs w:val="24"/>
                <w:lang w:val="en-US"/>
              </w:rPr>
              <w:t>oligomerization</w:t>
            </w:r>
            <w:proofErr w:type="spellEnd"/>
            <w:r w:rsidRPr="00A32DB9">
              <w:rPr>
                <w:rFonts w:ascii="Times New Roman" w:eastAsia="Calibri" w:hAnsi="Times New Roman" w:cs="Times New Roman"/>
                <w:sz w:val="24"/>
                <w:szCs w:val="24"/>
                <w:lang w:val="en-US"/>
              </w:rPr>
              <w:t xml:space="preserve"> of the toxin-antitoxin complex, the formed </w:t>
            </w:r>
            <w:proofErr w:type="spellStart"/>
            <w:r w:rsidRPr="00A32DB9">
              <w:rPr>
                <w:rFonts w:ascii="Times New Roman" w:eastAsia="Calibri" w:hAnsi="Times New Roman" w:cs="Times New Roman"/>
                <w:sz w:val="24"/>
                <w:szCs w:val="24"/>
                <w:lang w:val="en-US"/>
              </w:rPr>
              <w:t>heterododecamer</w:t>
            </w:r>
            <w:proofErr w:type="spellEnd"/>
            <w:r w:rsidRPr="00A32DB9">
              <w:rPr>
                <w:rFonts w:ascii="Times New Roman" w:eastAsia="Calibri" w:hAnsi="Times New Roman" w:cs="Times New Roman"/>
                <w:sz w:val="24"/>
                <w:szCs w:val="24"/>
                <w:lang w:val="en-US"/>
              </w:rPr>
              <w:t xml:space="preserve"> may recognize and bind the operator DNA</w:t>
            </w:r>
          </w:p>
          <w:p w:rsidR="00A32DB9" w:rsidRPr="00A32DB9" w:rsidRDefault="00A32DB9" w:rsidP="00A32DB9">
            <w:pPr>
              <w:jc w:val="both"/>
              <w:rPr>
                <w:rFonts w:ascii="Times New Roman" w:eastAsia="Calibri" w:hAnsi="Times New Roman" w:cs="Times New Roman"/>
                <w:sz w:val="24"/>
                <w:szCs w:val="24"/>
                <w:lang w:val="en-US"/>
              </w:rPr>
            </w:pPr>
          </w:p>
        </w:tc>
        <w:tc>
          <w:tcPr>
            <w:tcW w:w="2050" w:type="dxa"/>
          </w:tcPr>
          <w:p w:rsidR="00A32DB9" w:rsidRPr="00A32DB9" w:rsidRDefault="00A32DB9" w:rsidP="00A32DB9">
            <w:pPr>
              <w:jc w:val="both"/>
              <w:rPr>
                <w:rFonts w:ascii="Times New Roman" w:eastAsia="Calibri" w:hAnsi="Times New Roman" w:cs="Times New Roman"/>
                <w:sz w:val="24"/>
                <w:szCs w:val="24"/>
                <w:lang w:val="en-US"/>
              </w:rPr>
            </w:pPr>
            <w:r w:rsidRPr="00A32DB9">
              <w:rPr>
                <w:rFonts w:ascii="Times New Roman" w:eastAsia="Calibri" w:hAnsi="Times New Roman" w:cs="Times New Roman"/>
                <w:sz w:val="24"/>
                <w:szCs w:val="24"/>
                <w:lang w:val="en-US"/>
              </w:rPr>
              <w:t>Antitoxins from prokaryotic type II toxin-antitoxin modules. Modulation of metabolic activity, persistence, virulence and pathogenicity</w:t>
            </w:r>
          </w:p>
        </w:tc>
      </w:tr>
    </w:tbl>
    <w:p w:rsidR="00A32DB9" w:rsidRDefault="00A32DB9" w:rsidP="00A32DB9">
      <w:pPr>
        <w:widowControl w:val="0"/>
        <w:autoSpaceDE w:val="0"/>
        <w:autoSpaceDN w:val="0"/>
        <w:adjustRightInd w:val="0"/>
        <w:spacing w:line="240" w:lineRule="auto"/>
        <w:ind w:left="640" w:hanging="640"/>
        <w:rPr>
          <w:rFonts w:ascii="Calibri" w:eastAsia="Calibri" w:hAnsi="Calibri" w:cs="Times New Roman"/>
          <w:lang w:val="en-US"/>
        </w:rPr>
      </w:pPr>
    </w:p>
    <w:p w:rsidR="00A32DB9" w:rsidRPr="00A32DB9" w:rsidRDefault="00A32DB9" w:rsidP="00A32DB9">
      <w:pPr>
        <w:widowControl w:val="0"/>
        <w:autoSpaceDE w:val="0"/>
        <w:autoSpaceDN w:val="0"/>
        <w:adjustRightInd w:val="0"/>
        <w:spacing w:line="240" w:lineRule="auto"/>
        <w:ind w:left="640" w:hanging="640"/>
        <w:rPr>
          <w:rFonts w:ascii="Times New Roman" w:eastAsia="Calibri" w:hAnsi="Times New Roman" w:cs="Times New Roman"/>
          <w:b/>
          <w:sz w:val="24"/>
          <w:szCs w:val="24"/>
          <w:lang w:val="en-US"/>
        </w:rPr>
      </w:pPr>
      <w:r w:rsidRPr="00A32DB9">
        <w:rPr>
          <w:rFonts w:ascii="Times New Roman" w:eastAsia="Calibri" w:hAnsi="Times New Roman" w:cs="Times New Roman"/>
          <w:b/>
          <w:sz w:val="24"/>
          <w:szCs w:val="24"/>
          <w:lang w:val="en-US"/>
        </w:rPr>
        <w:t>References</w:t>
      </w:r>
    </w:p>
    <w:p w:rsidR="00A32DB9" w:rsidRDefault="00A32DB9" w:rsidP="00A32DB9">
      <w:pPr>
        <w:widowControl w:val="0"/>
        <w:autoSpaceDE w:val="0"/>
        <w:autoSpaceDN w:val="0"/>
        <w:adjustRightInd w:val="0"/>
        <w:spacing w:line="240" w:lineRule="auto"/>
        <w:rPr>
          <w:rFonts w:ascii="Calibri" w:eastAsia="Calibri" w:hAnsi="Calibri" w:cs="Times New Roman"/>
          <w:lang w:val="en-US"/>
        </w:rPr>
      </w:pP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A32DB9">
        <w:rPr>
          <w:rFonts w:ascii="Times New Roman" w:hAnsi="Times New Roman" w:cs="Times New Roman"/>
          <w:lang w:val="en-US"/>
        </w:rPr>
        <w:fldChar w:fldCharType="begin" w:fldLock="1"/>
      </w:r>
      <w:r w:rsidRPr="00A32DB9">
        <w:rPr>
          <w:rFonts w:ascii="Times New Roman" w:hAnsi="Times New Roman" w:cs="Times New Roman"/>
          <w:lang w:val="en-US"/>
        </w:rPr>
        <w:instrText xml:space="preserve">ADDIN Mendeley Bibliography CSL_BIBLIOGRAPHY </w:instrText>
      </w:r>
      <w:r w:rsidRPr="00A32DB9">
        <w:rPr>
          <w:rFonts w:ascii="Times New Roman" w:hAnsi="Times New Roman" w:cs="Times New Roman"/>
          <w:lang w:val="en-US"/>
        </w:rPr>
        <w:fldChar w:fldCharType="separate"/>
      </w:r>
      <w:r w:rsidRPr="008F1302">
        <w:rPr>
          <w:rFonts w:ascii="Times New Roman" w:hAnsi="Times New Roman" w:cs="Times New Roman"/>
          <w:noProof/>
          <w:szCs w:val="24"/>
          <w:lang w:val="en-US"/>
        </w:rPr>
        <w:t>1.</w:t>
      </w:r>
      <w:r w:rsidRPr="008F1302">
        <w:rPr>
          <w:rFonts w:ascii="Times New Roman" w:hAnsi="Times New Roman" w:cs="Times New Roman"/>
          <w:noProof/>
          <w:szCs w:val="24"/>
          <w:lang w:val="en-US"/>
        </w:rPr>
        <w:tab/>
        <w:t xml:space="preserve">Fleming, P. J. &amp; Fleming, K. G. HullRad: Fast Calculations of Folded and Disordered Protein and Nucleic Acid Hydrodynamic Properties. </w:t>
      </w:r>
      <w:r w:rsidRPr="008F1302">
        <w:rPr>
          <w:rFonts w:ascii="Times New Roman" w:hAnsi="Times New Roman" w:cs="Times New Roman"/>
          <w:i/>
          <w:iCs/>
          <w:noProof/>
          <w:szCs w:val="24"/>
          <w:lang w:val="en-US"/>
        </w:rPr>
        <w:t>Biophys. J.</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114</w:t>
      </w:r>
      <w:r w:rsidRPr="008F1302">
        <w:rPr>
          <w:rFonts w:ascii="Times New Roman" w:hAnsi="Times New Roman" w:cs="Times New Roman"/>
          <w:noProof/>
          <w:szCs w:val="24"/>
          <w:lang w:val="en-US"/>
        </w:rPr>
        <w:t>, 856–869 (2018).</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w:t>
      </w:r>
      <w:r w:rsidRPr="008F1302">
        <w:rPr>
          <w:rFonts w:ascii="Times New Roman" w:hAnsi="Times New Roman" w:cs="Times New Roman"/>
          <w:noProof/>
          <w:szCs w:val="24"/>
          <w:lang w:val="en-US"/>
        </w:rPr>
        <w:tab/>
        <w:t>Sołtys, K. &amp; Ożyhar, A. Ordered structure-forming properties of the intrinsically disordered AB region of hRXR</w:t>
      </w:r>
      <w:r w:rsidRPr="00A32DB9">
        <w:rPr>
          <w:rFonts w:ascii="Times New Roman" w:hAnsi="Times New Roman" w:cs="Times New Roman"/>
          <w:noProof/>
          <w:szCs w:val="24"/>
        </w:rPr>
        <w:t>γ</w:t>
      </w:r>
      <w:r w:rsidRPr="008F1302">
        <w:rPr>
          <w:rFonts w:ascii="Times New Roman" w:hAnsi="Times New Roman" w:cs="Times New Roman"/>
          <w:noProof/>
          <w:szCs w:val="24"/>
          <w:lang w:val="en-US"/>
        </w:rPr>
        <w:t xml:space="preserve"> and its ability to promote liquid-liquid phase separation. </w:t>
      </w:r>
      <w:r w:rsidRPr="008F1302">
        <w:rPr>
          <w:rFonts w:ascii="Times New Roman" w:hAnsi="Times New Roman" w:cs="Times New Roman"/>
          <w:i/>
          <w:iCs/>
          <w:noProof/>
          <w:szCs w:val="24"/>
          <w:lang w:val="en-US"/>
        </w:rPr>
        <w:t>J. Steroid Biochem. Mol. Biol.</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198</w:t>
      </w:r>
      <w:r w:rsidRPr="008F1302">
        <w:rPr>
          <w:rFonts w:ascii="Times New Roman" w:hAnsi="Times New Roman" w:cs="Times New Roman"/>
          <w:noProof/>
          <w:szCs w:val="24"/>
          <w:lang w:val="en-US"/>
        </w:rPr>
        <w:t>, (2020).</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3.</w:t>
      </w:r>
      <w:r w:rsidRPr="008F1302">
        <w:rPr>
          <w:rFonts w:ascii="Times New Roman" w:hAnsi="Times New Roman" w:cs="Times New Roman"/>
          <w:noProof/>
          <w:szCs w:val="24"/>
          <w:lang w:val="en-US"/>
        </w:rPr>
        <w:tab/>
        <w:t xml:space="preserve">Mansouri, A. L.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Folding propensity of intrinsically disordered proteins by osmotic stress. </w:t>
      </w:r>
      <w:r w:rsidRPr="008F1302">
        <w:rPr>
          <w:rFonts w:ascii="Times New Roman" w:hAnsi="Times New Roman" w:cs="Times New Roman"/>
          <w:i/>
          <w:iCs/>
          <w:noProof/>
          <w:szCs w:val="24"/>
          <w:lang w:val="en-US"/>
        </w:rPr>
        <w:t>Mol. Biosyst.</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12</w:t>
      </w:r>
      <w:r w:rsidRPr="008F1302">
        <w:rPr>
          <w:rFonts w:ascii="Times New Roman" w:hAnsi="Times New Roman" w:cs="Times New Roman"/>
          <w:noProof/>
          <w:szCs w:val="24"/>
          <w:lang w:val="en-US"/>
        </w:rPr>
        <w:t>, 3695–3701 (2016).</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4.</w:t>
      </w:r>
      <w:r w:rsidRPr="008F1302">
        <w:rPr>
          <w:rFonts w:ascii="Times New Roman" w:hAnsi="Times New Roman" w:cs="Times New Roman"/>
          <w:noProof/>
          <w:szCs w:val="24"/>
          <w:lang w:val="en-US"/>
        </w:rPr>
        <w:tab/>
        <w:t xml:space="preserve">Banks, A., Qin, S., Weiss, K. L., Stanley, C. B. &amp; Zhou, H. X. Intrinsically Disordered Protein Exhibits Both Compaction and Expansion under Macromolecular Crowding. </w:t>
      </w:r>
      <w:r w:rsidRPr="008F1302">
        <w:rPr>
          <w:rFonts w:ascii="Times New Roman" w:hAnsi="Times New Roman" w:cs="Times New Roman"/>
          <w:i/>
          <w:iCs/>
          <w:noProof/>
          <w:szCs w:val="24"/>
          <w:lang w:val="en-US"/>
        </w:rPr>
        <w:t>Biophys. J.</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114</w:t>
      </w:r>
      <w:r w:rsidRPr="008F1302">
        <w:rPr>
          <w:rFonts w:ascii="Times New Roman" w:hAnsi="Times New Roman" w:cs="Times New Roman"/>
          <w:noProof/>
          <w:szCs w:val="24"/>
          <w:lang w:val="en-US"/>
        </w:rPr>
        <w:t>, 1067–1079 (2018).</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5.</w:t>
      </w:r>
      <w:r w:rsidRPr="008F1302">
        <w:rPr>
          <w:rFonts w:ascii="Times New Roman" w:hAnsi="Times New Roman" w:cs="Times New Roman"/>
          <w:noProof/>
          <w:szCs w:val="24"/>
          <w:lang w:val="en-US"/>
        </w:rPr>
        <w:tab/>
        <w:t xml:space="preserve">Schramm, A.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An arsenal of methods for the experimental characterization of intrinsically disordered proteins – How to choose and combine them? </w:t>
      </w:r>
      <w:r w:rsidRPr="008F1302">
        <w:rPr>
          <w:rFonts w:ascii="Times New Roman" w:hAnsi="Times New Roman" w:cs="Times New Roman"/>
          <w:i/>
          <w:iCs/>
          <w:noProof/>
          <w:szCs w:val="24"/>
          <w:lang w:val="en-US"/>
        </w:rPr>
        <w:t>Arch. Biochem. Biophys.</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676</w:t>
      </w:r>
      <w:r w:rsidRPr="008F1302">
        <w:rPr>
          <w:rFonts w:ascii="Times New Roman" w:hAnsi="Times New Roman" w:cs="Times New Roman"/>
          <w:noProof/>
          <w:szCs w:val="24"/>
          <w:lang w:val="en-US"/>
        </w:rPr>
        <w:t>, 108055 (2019).</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6.</w:t>
      </w:r>
      <w:r w:rsidRPr="008F1302">
        <w:rPr>
          <w:rFonts w:ascii="Times New Roman" w:hAnsi="Times New Roman" w:cs="Times New Roman"/>
          <w:noProof/>
          <w:szCs w:val="24"/>
          <w:lang w:val="en-US"/>
        </w:rPr>
        <w:tab/>
        <w:t xml:space="preserve">Kohlbrecher, J., Breßler, I. &amp; Barty, A. Updates in SASfit for fitting analytical expressions and numerical models to small-angle scattering patterns. </w:t>
      </w:r>
      <w:r w:rsidRPr="008F1302">
        <w:rPr>
          <w:rFonts w:ascii="Times New Roman" w:hAnsi="Times New Roman" w:cs="Times New Roman"/>
          <w:i/>
          <w:iCs/>
          <w:noProof/>
          <w:szCs w:val="24"/>
          <w:lang w:val="en-US"/>
        </w:rPr>
        <w:t>J. Appl. Crystallogr.</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55</w:t>
      </w:r>
      <w:r w:rsidRPr="008F1302">
        <w:rPr>
          <w:rFonts w:ascii="Times New Roman" w:hAnsi="Times New Roman" w:cs="Times New Roman"/>
          <w:noProof/>
          <w:szCs w:val="24"/>
          <w:lang w:val="en-US"/>
        </w:rPr>
        <w:t>, 1677–1688 (2022).</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7.</w:t>
      </w:r>
      <w:r w:rsidRPr="008F1302">
        <w:rPr>
          <w:rFonts w:ascii="Times New Roman" w:hAnsi="Times New Roman" w:cs="Times New Roman"/>
          <w:noProof/>
          <w:szCs w:val="24"/>
          <w:lang w:val="en-US"/>
        </w:rPr>
        <w:tab/>
        <w:t xml:space="preserve">Mylonas, E. &amp; Svergun, D. I. Accuracy of molecular mass determination of proteins in solution by small-angle X-ray scattering. </w:t>
      </w:r>
      <w:r w:rsidRPr="008F1302">
        <w:rPr>
          <w:rFonts w:ascii="Times New Roman" w:hAnsi="Times New Roman" w:cs="Times New Roman"/>
          <w:i/>
          <w:iCs/>
          <w:noProof/>
          <w:szCs w:val="24"/>
          <w:lang w:val="en-US"/>
        </w:rPr>
        <w:t>J. Appl. Crystallogr.</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40</w:t>
      </w:r>
      <w:r w:rsidRPr="008F1302">
        <w:rPr>
          <w:rFonts w:ascii="Times New Roman" w:hAnsi="Times New Roman" w:cs="Times New Roman"/>
          <w:noProof/>
          <w:szCs w:val="24"/>
          <w:lang w:val="en-US"/>
        </w:rPr>
        <w:t>, 245–249 (2007).</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8.</w:t>
      </w:r>
      <w:r w:rsidRPr="008F1302">
        <w:rPr>
          <w:rFonts w:ascii="Times New Roman" w:hAnsi="Times New Roman" w:cs="Times New Roman"/>
          <w:noProof/>
          <w:szCs w:val="24"/>
          <w:lang w:val="en-US"/>
        </w:rPr>
        <w:tab/>
        <w:t xml:space="preserve">Neira, J. L.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Dynamics of the intrinsically disordered protein NUPR1 in isolation and in its fuzzy complexes with DNA and prothymosin </w:t>
      </w:r>
      <w:r w:rsidRPr="00A32DB9">
        <w:rPr>
          <w:rFonts w:ascii="Times New Roman" w:hAnsi="Times New Roman" w:cs="Times New Roman"/>
          <w:noProof/>
          <w:szCs w:val="24"/>
        </w:rPr>
        <w:t>α</w:t>
      </w:r>
      <w:r w:rsidRPr="008F1302">
        <w:rPr>
          <w:rFonts w:ascii="Times New Roman" w:hAnsi="Times New Roman" w:cs="Times New Roman"/>
          <w:noProof/>
          <w:szCs w:val="24"/>
          <w:lang w:val="en-US"/>
        </w:rPr>
        <w:t xml:space="preserve">. </w:t>
      </w:r>
      <w:r w:rsidRPr="008F1302">
        <w:rPr>
          <w:rFonts w:ascii="Times New Roman" w:hAnsi="Times New Roman" w:cs="Times New Roman"/>
          <w:i/>
          <w:iCs/>
          <w:noProof/>
          <w:szCs w:val="24"/>
          <w:lang w:val="en-US"/>
        </w:rPr>
        <w:t>Biochim. Biophys. Acta - Proteins Proteomics</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1867</w:t>
      </w:r>
      <w:r w:rsidRPr="008F1302">
        <w:rPr>
          <w:rFonts w:ascii="Times New Roman" w:hAnsi="Times New Roman" w:cs="Times New Roman"/>
          <w:noProof/>
          <w:szCs w:val="24"/>
          <w:lang w:val="en-US"/>
        </w:rPr>
        <w:t>, 140252 (2019).</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9.</w:t>
      </w:r>
      <w:r w:rsidRPr="008F1302">
        <w:rPr>
          <w:rFonts w:ascii="Times New Roman" w:hAnsi="Times New Roman" w:cs="Times New Roman"/>
          <w:noProof/>
          <w:szCs w:val="24"/>
          <w:lang w:val="en-US"/>
        </w:rPr>
        <w:tab/>
        <w:t xml:space="preserve">Urrutia, R.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Evidence supporting the existence of a NUPR1-like family of helix-loop-helix chromatin proteins related to, yet distinct from, AT hook-containing HMG proteins. </w:t>
      </w:r>
      <w:r w:rsidRPr="008F1302">
        <w:rPr>
          <w:rFonts w:ascii="Times New Roman" w:hAnsi="Times New Roman" w:cs="Times New Roman"/>
          <w:i/>
          <w:iCs/>
          <w:noProof/>
          <w:szCs w:val="24"/>
          <w:lang w:val="en-US"/>
        </w:rPr>
        <w:t>J. Mol. Model.</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20</w:t>
      </w:r>
      <w:r w:rsidRPr="008F1302">
        <w:rPr>
          <w:rFonts w:ascii="Times New Roman" w:hAnsi="Times New Roman" w:cs="Times New Roman"/>
          <w:noProof/>
          <w:szCs w:val="24"/>
          <w:lang w:val="en-US"/>
        </w:rPr>
        <w:t>, (2014).</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10.</w:t>
      </w:r>
      <w:r w:rsidRPr="008F1302">
        <w:rPr>
          <w:rFonts w:ascii="Times New Roman" w:hAnsi="Times New Roman" w:cs="Times New Roman"/>
          <w:noProof/>
          <w:szCs w:val="24"/>
          <w:lang w:val="en-US"/>
        </w:rPr>
        <w:tab/>
        <w:t xml:space="preserve">Nanduri, R., Furusawa, T. &amp; Bustin, M. Biological functions of HMGN chromosomal proteins. </w:t>
      </w:r>
      <w:r w:rsidRPr="008F1302">
        <w:rPr>
          <w:rFonts w:ascii="Times New Roman" w:hAnsi="Times New Roman" w:cs="Times New Roman"/>
          <w:i/>
          <w:iCs/>
          <w:noProof/>
          <w:szCs w:val="24"/>
          <w:lang w:val="en-US"/>
        </w:rPr>
        <w:t>Int. J. Mol. Sci.</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21</w:t>
      </w:r>
      <w:r w:rsidRPr="008F1302">
        <w:rPr>
          <w:rFonts w:ascii="Times New Roman" w:hAnsi="Times New Roman" w:cs="Times New Roman"/>
          <w:noProof/>
          <w:szCs w:val="24"/>
          <w:lang w:val="en-US"/>
        </w:rPr>
        <w:t>, 1–27 (2020).</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11.</w:t>
      </w:r>
      <w:r w:rsidRPr="008F1302">
        <w:rPr>
          <w:rFonts w:ascii="Times New Roman" w:hAnsi="Times New Roman" w:cs="Times New Roman"/>
          <w:noProof/>
          <w:szCs w:val="24"/>
          <w:lang w:val="en-US"/>
        </w:rPr>
        <w:tab/>
        <w:t xml:space="preserve">Rochman, M.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Effects of HMGN variants on the cellular transcription profile. </w:t>
      </w:r>
      <w:r w:rsidRPr="008F1302">
        <w:rPr>
          <w:rFonts w:ascii="Times New Roman" w:hAnsi="Times New Roman" w:cs="Times New Roman"/>
          <w:i/>
          <w:iCs/>
          <w:noProof/>
          <w:szCs w:val="24"/>
          <w:lang w:val="en-US"/>
        </w:rPr>
        <w:t>Nucleic Acids Res.</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39</w:t>
      </w:r>
      <w:r w:rsidRPr="008F1302">
        <w:rPr>
          <w:rFonts w:ascii="Times New Roman" w:hAnsi="Times New Roman" w:cs="Times New Roman"/>
          <w:noProof/>
          <w:szCs w:val="24"/>
          <w:lang w:val="en-US"/>
        </w:rPr>
        <w:t>, 4076–4082 (2011).</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lastRenderedPageBreak/>
        <w:t>12.</w:t>
      </w:r>
      <w:r w:rsidRPr="008F1302">
        <w:rPr>
          <w:rFonts w:ascii="Times New Roman" w:hAnsi="Times New Roman" w:cs="Times New Roman"/>
          <w:noProof/>
          <w:szCs w:val="24"/>
          <w:lang w:val="en-US"/>
        </w:rPr>
        <w:tab/>
        <w:t xml:space="preserve">Wells, M.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Structure of tumor suppressor p53 and its intrinsically disordered N-terminal transactivation domain. </w:t>
      </w:r>
      <w:r w:rsidRPr="008F1302">
        <w:rPr>
          <w:rFonts w:ascii="Times New Roman" w:hAnsi="Times New Roman" w:cs="Times New Roman"/>
          <w:i/>
          <w:iCs/>
          <w:noProof/>
          <w:szCs w:val="24"/>
          <w:lang w:val="en-US"/>
        </w:rPr>
        <w:t>Proc. Natl. Acad. Sci. U. S. A.</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105</w:t>
      </w:r>
      <w:r w:rsidRPr="008F1302">
        <w:rPr>
          <w:rFonts w:ascii="Times New Roman" w:hAnsi="Times New Roman" w:cs="Times New Roman"/>
          <w:noProof/>
          <w:szCs w:val="24"/>
          <w:lang w:val="en-US"/>
        </w:rPr>
        <w:t>, 5762–5767 (2008).</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13.</w:t>
      </w:r>
      <w:r w:rsidRPr="008F1302">
        <w:rPr>
          <w:rFonts w:ascii="Times New Roman" w:hAnsi="Times New Roman" w:cs="Times New Roman"/>
          <w:noProof/>
          <w:szCs w:val="24"/>
          <w:lang w:val="en-US"/>
        </w:rPr>
        <w:tab/>
        <w:t xml:space="preserve">Tidow, H.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Quaternary structures of tumor suppressor p53 and a specific p53-DNA complex. </w:t>
      </w:r>
      <w:r w:rsidRPr="008F1302">
        <w:rPr>
          <w:rFonts w:ascii="Times New Roman" w:hAnsi="Times New Roman" w:cs="Times New Roman"/>
          <w:i/>
          <w:iCs/>
          <w:noProof/>
          <w:szCs w:val="24"/>
          <w:lang w:val="en-US"/>
        </w:rPr>
        <w:t>Proc. Natl. Acad. Sci. U. S. A.</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104</w:t>
      </w:r>
      <w:r w:rsidRPr="008F1302">
        <w:rPr>
          <w:rFonts w:ascii="Times New Roman" w:hAnsi="Times New Roman" w:cs="Times New Roman"/>
          <w:noProof/>
          <w:szCs w:val="24"/>
          <w:lang w:val="en-US"/>
        </w:rPr>
        <w:t>, 12324–12329 (2007).</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14.</w:t>
      </w:r>
      <w:r w:rsidRPr="008F1302">
        <w:rPr>
          <w:rFonts w:ascii="Times New Roman" w:hAnsi="Times New Roman" w:cs="Times New Roman"/>
          <w:noProof/>
          <w:szCs w:val="24"/>
          <w:lang w:val="en-US"/>
        </w:rPr>
        <w:tab/>
        <w:t xml:space="preserve">Hite, K. C., Kalashnikova, A. A. &amp; Hansen, J. C. Coil-to-helix transitions in intrinsically disordered methyl CpG binding protein 2 and its isolated domains. </w:t>
      </w:r>
      <w:r w:rsidRPr="008F1302">
        <w:rPr>
          <w:rFonts w:ascii="Times New Roman" w:hAnsi="Times New Roman" w:cs="Times New Roman"/>
          <w:i/>
          <w:iCs/>
          <w:noProof/>
          <w:szCs w:val="24"/>
          <w:lang w:val="en-US"/>
        </w:rPr>
        <w:t>Protein Sci.</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21</w:t>
      </w:r>
      <w:r w:rsidRPr="008F1302">
        <w:rPr>
          <w:rFonts w:ascii="Times New Roman" w:hAnsi="Times New Roman" w:cs="Times New Roman"/>
          <w:noProof/>
          <w:szCs w:val="24"/>
          <w:lang w:val="en-US"/>
        </w:rPr>
        <w:t>, 531–538 (2012).</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15.</w:t>
      </w:r>
      <w:r w:rsidRPr="008F1302">
        <w:rPr>
          <w:rFonts w:ascii="Times New Roman" w:hAnsi="Times New Roman" w:cs="Times New Roman"/>
          <w:noProof/>
          <w:szCs w:val="24"/>
          <w:lang w:val="en-US"/>
        </w:rPr>
        <w:tab/>
        <w:t xml:space="preserve">Yang, C., Van Der Woerd, M. J., Muthurajan, U. M., Hansen, J. C. &amp; Luger, K. Biophysical analysis and small-angle X-ray scattering-derived structures of MeCP2-nucleosome complexes. </w:t>
      </w:r>
      <w:r w:rsidRPr="008F1302">
        <w:rPr>
          <w:rFonts w:ascii="Times New Roman" w:hAnsi="Times New Roman" w:cs="Times New Roman"/>
          <w:i/>
          <w:iCs/>
          <w:noProof/>
          <w:szCs w:val="24"/>
          <w:lang w:val="en-US"/>
        </w:rPr>
        <w:t>Nucleic Acids Res.</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39</w:t>
      </w:r>
      <w:r w:rsidRPr="008F1302">
        <w:rPr>
          <w:rFonts w:ascii="Times New Roman" w:hAnsi="Times New Roman" w:cs="Times New Roman"/>
          <w:noProof/>
          <w:szCs w:val="24"/>
          <w:lang w:val="en-US"/>
        </w:rPr>
        <w:t>, 4122–4135 (2011).</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16.</w:t>
      </w:r>
      <w:r w:rsidRPr="008F1302">
        <w:rPr>
          <w:rFonts w:ascii="Times New Roman" w:hAnsi="Times New Roman" w:cs="Times New Roman"/>
          <w:noProof/>
          <w:szCs w:val="24"/>
          <w:lang w:val="en-US"/>
        </w:rPr>
        <w:tab/>
        <w:t xml:space="preserve">Lamber, E. P.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Regulation of the transcription factor Ets-1 by DNA-mediated homo-dimerization. </w:t>
      </w:r>
      <w:r w:rsidRPr="008F1302">
        <w:rPr>
          <w:rFonts w:ascii="Times New Roman" w:hAnsi="Times New Roman" w:cs="Times New Roman"/>
          <w:i/>
          <w:iCs/>
          <w:noProof/>
          <w:szCs w:val="24"/>
          <w:lang w:val="en-US"/>
        </w:rPr>
        <w:t>EMBO J.</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27</w:t>
      </w:r>
      <w:r w:rsidRPr="008F1302">
        <w:rPr>
          <w:rFonts w:ascii="Times New Roman" w:hAnsi="Times New Roman" w:cs="Times New Roman"/>
          <w:noProof/>
          <w:szCs w:val="24"/>
          <w:lang w:val="en-US"/>
        </w:rPr>
        <w:t>, 2006–2017 (2008).</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17.</w:t>
      </w:r>
      <w:r w:rsidRPr="008F1302">
        <w:rPr>
          <w:rFonts w:ascii="Times New Roman" w:hAnsi="Times New Roman" w:cs="Times New Roman"/>
          <w:noProof/>
          <w:szCs w:val="24"/>
          <w:lang w:val="en-US"/>
        </w:rPr>
        <w:tab/>
        <w:t xml:space="preserve">Lee, G. M.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The structural and dynamic basis of Ets-1 DNA binding autoinhibition. </w:t>
      </w:r>
      <w:r w:rsidRPr="008F1302">
        <w:rPr>
          <w:rFonts w:ascii="Times New Roman" w:hAnsi="Times New Roman" w:cs="Times New Roman"/>
          <w:i/>
          <w:iCs/>
          <w:noProof/>
          <w:szCs w:val="24"/>
          <w:lang w:val="en-US"/>
        </w:rPr>
        <w:t>J. Biol. Chem.</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280</w:t>
      </w:r>
      <w:r w:rsidRPr="008F1302">
        <w:rPr>
          <w:rFonts w:ascii="Times New Roman" w:hAnsi="Times New Roman" w:cs="Times New Roman"/>
          <w:noProof/>
          <w:szCs w:val="24"/>
          <w:lang w:val="en-US"/>
        </w:rPr>
        <w:t>, 7088–7099 (2005).</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18.</w:t>
      </w:r>
      <w:r w:rsidRPr="008F1302">
        <w:rPr>
          <w:rFonts w:ascii="Times New Roman" w:hAnsi="Times New Roman" w:cs="Times New Roman"/>
          <w:noProof/>
          <w:szCs w:val="24"/>
          <w:lang w:val="en-US"/>
        </w:rPr>
        <w:tab/>
        <w:t xml:space="preserve">Wang, X., Schwartz, J. C. &amp; Cech, T. R. Nucleic acid-binding specificity of human FUS protein. </w:t>
      </w:r>
      <w:r w:rsidRPr="008F1302">
        <w:rPr>
          <w:rFonts w:ascii="Times New Roman" w:hAnsi="Times New Roman" w:cs="Times New Roman"/>
          <w:i/>
          <w:iCs/>
          <w:noProof/>
          <w:szCs w:val="24"/>
          <w:lang w:val="en-US"/>
        </w:rPr>
        <w:t>Nucleic Acids Res.</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43</w:t>
      </w:r>
      <w:r w:rsidRPr="008F1302">
        <w:rPr>
          <w:rFonts w:ascii="Times New Roman" w:hAnsi="Times New Roman" w:cs="Times New Roman"/>
          <w:noProof/>
          <w:szCs w:val="24"/>
          <w:lang w:val="en-US"/>
        </w:rPr>
        <w:t>, 7535–7543 (2015).</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19.</w:t>
      </w:r>
      <w:r w:rsidRPr="008F1302">
        <w:rPr>
          <w:rFonts w:ascii="Times New Roman" w:hAnsi="Times New Roman" w:cs="Times New Roman"/>
          <w:noProof/>
          <w:szCs w:val="24"/>
          <w:lang w:val="en-US"/>
        </w:rPr>
        <w:tab/>
        <w:t xml:space="preserve">Yamaguchi, A. &amp; Takanashi, K. FUS interacts with nuclear matrix-associated protein SAFB1 as well as Matrin3 to regulate splicing and ligand-mediated transcription. </w:t>
      </w:r>
      <w:r w:rsidRPr="008F1302">
        <w:rPr>
          <w:rFonts w:ascii="Times New Roman" w:hAnsi="Times New Roman" w:cs="Times New Roman"/>
          <w:i/>
          <w:iCs/>
          <w:noProof/>
          <w:szCs w:val="24"/>
          <w:lang w:val="en-US"/>
        </w:rPr>
        <w:t>Sci. Rep.</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6</w:t>
      </w:r>
      <w:r w:rsidRPr="008F1302">
        <w:rPr>
          <w:rFonts w:ascii="Times New Roman" w:hAnsi="Times New Roman" w:cs="Times New Roman"/>
          <w:noProof/>
          <w:szCs w:val="24"/>
          <w:lang w:val="en-US"/>
        </w:rPr>
        <w:t>, 1–14 (2016).</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20.</w:t>
      </w:r>
      <w:r w:rsidRPr="008F1302">
        <w:rPr>
          <w:rFonts w:ascii="Times New Roman" w:hAnsi="Times New Roman" w:cs="Times New Roman"/>
          <w:noProof/>
          <w:szCs w:val="24"/>
          <w:lang w:val="en-US"/>
        </w:rPr>
        <w:tab/>
        <w:t xml:space="preserve">Wang, W. Y.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Interaction of FUS and HDAC1 regulates DNA damage response and repair in neurons. </w:t>
      </w:r>
      <w:r w:rsidRPr="008F1302">
        <w:rPr>
          <w:rFonts w:ascii="Times New Roman" w:hAnsi="Times New Roman" w:cs="Times New Roman"/>
          <w:i/>
          <w:iCs/>
          <w:noProof/>
          <w:szCs w:val="24"/>
          <w:lang w:val="en-US"/>
        </w:rPr>
        <w:t>Nat. Neurosci.</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16</w:t>
      </w:r>
      <w:r w:rsidRPr="008F1302">
        <w:rPr>
          <w:rFonts w:ascii="Times New Roman" w:hAnsi="Times New Roman" w:cs="Times New Roman"/>
          <w:noProof/>
          <w:szCs w:val="24"/>
          <w:lang w:val="en-US"/>
        </w:rPr>
        <w:t>, 1383–1391 (2013).</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21.</w:t>
      </w:r>
      <w:r w:rsidRPr="008F1302">
        <w:rPr>
          <w:rFonts w:ascii="Times New Roman" w:hAnsi="Times New Roman" w:cs="Times New Roman"/>
          <w:noProof/>
          <w:szCs w:val="24"/>
          <w:lang w:val="en-US"/>
        </w:rPr>
        <w:tab/>
        <w:t xml:space="preserve">Wei, Y.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Binding to the minor groove of the double-strand, Tau protein prevents DNA damage by peroxidation. </w:t>
      </w:r>
      <w:r w:rsidRPr="008F1302">
        <w:rPr>
          <w:rFonts w:ascii="Times New Roman" w:hAnsi="Times New Roman" w:cs="Times New Roman"/>
          <w:i/>
          <w:iCs/>
          <w:noProof/>
          <w:szCs w:val="24"/>
          <w:lang w:val="en-US"/>
        </w:rPr>
        <w:t>PLoS One</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3</w:t>
      </w:r>
      <w:r w:rsidRPr="008F1302">
        <w:rPr>
          <w:rFonts w:ascii="Times New Roman" w:hAnsi="Times New Roman" w:cs="Times New Roman"/>
          <w:noProof/>
          <w:szCs w:val="24"/>
          <w:lang w:val="en-US"/>
        </w:rPr>
        <w:t>, (2008).</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22.</w:t>
      </w:r>
      <w:r w:rsidRPr="008F1302">
        <w:rPr>
          <w:rFonts w:ascii="Times New Roman" w:hAnsi="Times New Roman" w:cs="Times New Roman"/>
          <w:noProof/>
          <w:szCs w:val="24"/>
          <w:lang w:val="en-US"/>
        </w:rPr>
        <w:tab/>
        <w:t xml:space="preserve">Benhelli-Mokrani, H.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Genome-wide identification of genic and intergenic neuronal DNA regions bound by Tau protein under physiological and stress conditions. </w:t>
      </w:r>
      <w:r w:rsidRPr="008F1302">
        <w:rPr>
          <w:rFonts w:ascii="Times New Roman" w:hAnsi="Times New Roman" w:cs="Times New Roman"/>
          <w:i/>
          <w:iCs/>
          <w:noProof/>
          <w:szCs w:val="24"/>
          <w:lang w:val="en-US"/>
        </w:rPr>
        <w:t>Nucleic Acids Res.</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46</w:t>
      </w:r>
      <w:r w:rsidRPr="008F1302">
        <w:rPr>
          <w:rFonts w:ascii="Times New Roman" w:hAnsi="Times New Roman" w:cs="Times New Roman"/>
          <w:noProof/>
          <w:szCs w:val="24"/>
          <w:lang w:val="en-US"/>
        </w:rPr>
        <w:t>, 11405–11422 (2018).</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23.</w:t>
      </w:r>
      <w:r w:rsidRPr="008F1302">
        <w:rPr>
          <w:rFonts w:ascii="Times New Roman" w:hAnsi="Times New Roman" w:cs="Times New Roman"/>
          <w:noProof/>
          <w:szCs w:val="24"/>
          <w:lang w:val="en-US"/>
        </w:rPr>
        <w:tab/>
        <w:t xml:space="preserve">Liu, E. Y.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Loss of Nuclear TDP-43 Is Associated with Decondensation of LINE Retrotransposons. </w:t>
      </w:r>
      <w:r w:rsidRPr="008F1302">
        <w:rPr>
          <w:rFonts w:ascii="Times New Roman" w:hAnsi="Times New Roman" w:cs="Times New Roman"/>
          <w:i/>
          <w:iCs/>
          <w:noProof/>
          <w:szCs w:val="24"/>
          <w:lang w:val="en-US"/>
        </w:rPr>
        <w:t>Cell Rep.</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27</w:t>
      </w:r>
      <w:r w:rsidRPr="008F1302">
        <w:rPr>
          <w:rFonts w:ascii="Times New Roman" w:hAnsi="Times New Roman" w:cs="Times New Roman"/>
          <w:noProof/>
          <w:szCs w:val="24"/>
          <w:lang w:val="en-US"/>
        </w:rPr>
        <w:t>, 1409-1421.e6 (2019).</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24.</w:t>
      </w:r>
      <w:r w:rsidRPr="008F1302">
        <w:rPr>
          <w:rFonts w:ascii="Times New Roman" w:hAnsi="Times New Roman" w:cs="Times New Roman"/>
          <w:noProof/>
          <w:szCs w:val="24"/>
          <w:lang w:val="en-US"/>
        </w:rPr>
        <w:tab/>
        <w:t xml:space="preserve">Chang, C. ke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The N-terminus of TDP-43 promotes its oligomerization and enhances DNA binding affinity. </w:t>
      </w:r>
      <w:r w:rsidRPr="008F1302">
        <w:rPr>
          <w:rFonts w:ascii="Times New Roman" w:hAnsi="Times New Roman" w:cs="Times New Roman"/>
          <w:i/>
          <w:iCs/>
          <w:noProof/>
          <w:szCs w:val="24"/>
          <w:lang w:val="en-US"/>
        </w:rPr>
        <w:t>Biochem. Biophys. Res. Commun.</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425</w:t>
      </w:r>
      <w:r w:rsidRPr="008F1302">
        <w:rPr>
          <w:rFonts w:ascii="Times New Roman" w:hAnsi="Times New Roman" w:cs="Times New Roman"/>
          <w:noProof/>
          <w:szCs w:val="24"/>
          <w:lang w:val="en-US"/>
        </w:rPr>
        <w:t>, 219–224 (2012).</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25.</w:t>
      </w:r>
      <w:r w:rsidRPr="008F1302">
        <w:rPr>
          <w:rFonts w:ascii="Times New Roman" w:hAnsi="Times New Roman" w:cs="Times New Roman"/>
          <w:noProof/>
          <w:szCs w:val="24"/>
          <w:lang w:val="en-US"/>
        </w:rPr>
        <w:tab/>
        <w:t xml:space="preserve">Nair, S. K. &amp; Burley, S. K. X-Ray Structures of Myc-Max and Mad-Max Recognizing DNA. </w:t>
      </w:r>
      <w:r w:rsidRPr="008F1302">
        <w:rPr>
          <w:rFonts w:ascii="Times New Roman" w:hAnsi="Times New Roman" w:cs="Times New Roman"/>
          <w:i/>
          <w:iCs/>
          <w:noProof/>
          <w:szCs w:val="24"/>
          <w:lang w:val="en-US"/>
        </w:rPr>
        <w:t>Cell</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112</w:t>
      </w:r>
      <w:r w:rsidRPr="008F1302">
        <w:rPr>
          <w:rFonts w:ascii="Times New Roman" w:hAnsi="Times New Roman" w:cs="Times New Roman"/>
          <w:noProof/>
          <w:szCs w:val="24"/>
          <w:lang w:val="en-US"/>
        </w:rPr>
        <w:t>, 193–205 (2003).</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26.</w:t>
      </w:r>
      <w:r w:rsidRPr="008F1302">
        <w:rPr>
          <w:rFonts w:ascii="Times New Roman" w:hAnsi="Times New Roman" w:cs="Times New Roman"/>
          <w:noProof/>
          <w:szCs w:val="24"/>
          <w:lang w:val="en-US"/>
        </w:rPr>
        <w:tab/>
        <w:t xml:space="preserve">Mitrea, D. M.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Self-interaction of NPM1 modulates multiple mechanisms of liquid-liquid phase separation. </w:t>
      </w:r>
      <w:r w:rsidRPr="008F1302">
        <w:rPr>
          <w:rFonts w:ascii="Times New Roman" w:hAnsi="Times New Roman" w:cs="Times New Roman"/>
          <w:i/>
          <w:iCs/>
          <w:noProof/>
          <w:szCs w:val="24"/>
          <w:lang w:val="en-US"/>
        </w:rPr>
        <w:t>Nat. Commun.</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9</w:t>
      </w:r>
      <w:r w:rsidRPr="008F1302">
        <w:rPr>
          <w:rFonts w:ascii="Times New Roman" w:hAnsi="Times New Roman" w:cs="Times New Roman"/>
          <w:noProof/>
          <w:szCs w:val="24"/>
          <w:lang w:val="en-US"/>
        </w:rPr>
        <w:t>, 1–13 (2018).</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27.</w:t>
      </w:r>
      <w:r w:rsidRPr="008F1302">
        <w:rPr>
          <w:rFonts w:ascii="Times New Roman" w:hAnsi="Times New Roman" w:cs="Times New Roman"/>
          <w:noProof/>
          <w:szCs w:val="24"/>
          <w:lang w:val="en-US"/>
        </w:rPr>
        <w:tab/>
        <w:t xml:space="preserve">Saluri, M.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A “grappling hook” interaction connects self-assembly and chaperone activity of Nucleophosmin 1. </w:t>
      </w:r>
      <w:r w:rsidRPr="008F1302">
        <w:rPr>
          <w:rFonts w:ascii="Times New Roman" w:hAnsi="Times New Roman" w:cs="Times New Roman"/>
          <w:i/>
          <w:iCs/>
          <w:noProof/>
          <w:szCs w:val="24"/>
          <w:lang w:val="en-US"/>
        </w:rPr>
        <w:t>PNAS Nexus</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w:t>
      </w:r>
      <w:r w:rsidRPr="008F1302">
        <w:rPr>
          <w:rFonts w:ascii="Times New Roman" w:hAnsi="Times New Roman" w:cs="Times New Roman"/>
          <w:noProof/>
          <w:szCs w:val="24"/>
          <w:lang w:val="en-US"/>
        </w:rPr>
        <w:t>, 1–9 (2023).</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28.</w:t>
      </w:r>
      <w:r w:rsidRPr="008F1302">
        <w:rPr>
          <w:rFonts w:ascii="Times New Roman" w:hAnsi="Times New Roman" w:cs="Times New Roman"/>
          <w:noProof/>
          <w:szCs w:val="24"/>
          <w:lang w:val="en-US"/>
        </w:rPr>
        <w:tab/>
        <w:t xml:space="preserve">Xu, C., Cao, Y. &amp; Bao, J. Building RNA-protein germ granules: insights from the multifaceted functions of DEAD-box helicase Vasa/Ddx4 in germline development. </w:t>
      </w:r>
      <w:r w:rsidRPr="008F1302">
        <w:rPr>
          <w:rFonts w:ascii="Times New Roman" w:hAnsi="Times New Roman" w:cs="Times New Roman"/>
          <w:i/>
          <w:iCs/>
          <w:noProof/>
          <w:szCs w:val="24"/>
          <w:lang w:val="en-US"/>
        </w:rPr>
        <w:t>Cell. Mol. Life Sci.</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79</w:t>
      </w:r>
      <w:r w:rsidRPr="008F1302">
        <w:rPr>
          <w:rFonts w:ascii="Times New Roman" w:hAnsi="Times New Roman" w:cs="Times New Roman"/>
          <w:noProof/>
          <w:szCs w:val="24"/>
          <w:lang w:val="en-US"/>
        </w:rPr>
        <w:t>, 1–15 (2022).</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29.</w:t>
      </w:r>
      <w:r w:rsidRPr="008F1302">
        <w:rPr>
          <w:rFonts w:ascii="Times New Roman" w:hAnsi="Times New Roman" w:cs="Times New Roman"/>
          <w:noProof/>
          <w:szCs w:val="24"/>
          <w:lang w:val="en-US"/>
        </w:rPr>
        <w:tab/>
        <w:t xml:space="preserve">Brady, J. P.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Structural and hydrodynamic properties of an intrinsically disordered region of a germ cell-specific protein on phase separation. </w:t>
      </w:r>
      <w:r w:rsidRPr="008F1302">
        <w:rPr>
          <w:rFonts w:ascii="Times New Roman" w:hAnsi="Times New Roman" w:cs="Times New Roman"/>
          <w:i/>
          <w:iCs/>
          <w:noProof/>
          <w:szCs w:val="24"/>
          <w:lang w:val="en-US"/>
        </w:rPr>
        <w:t>Proc. Natl. Acad. Sci. U. S. A.</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114</w:t>
      </w:r>
      <w:r w:rsidRPr="008F1302">
        <w:rPr>
          <w:rFonts w:ascii="Times New Roman" w:hAnsi="Times New Roman" w:cs="Times New Roman"/>
          <w:noProof/>
          <w:szCs w:val="24"/>
          <w:lang w:val="en-US"/>
        </w:rPr>
        <w:t>, E8194–E8203 (2017).</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30.</w:t>
      </w:r>
      <w:r w:rsidRPr="008F1302">
        <w:rPr>
          <w:rFonts w:ascii="Times New Roman" w:hAnsi="Times New Roman" w:cs="Times New Roman"/>
          <w:noProof/>
          <w:szCs w:val="24"/>
          <w:lang w:val="en-US"/>
        </w:rPr>
        <w:tab/>
        <w:t xml:space="preserve">Green, M., Hatter, L., Brookes, E., Soultanas, P. &amp; Scott, D. J. Defining the Intrinsically Disordered C-Terminal Domain of SSB Reveals DNA-Mediated Compaction. </w:t>
      </w:r>
      <w:r w:rsidRPr="008F1302">
        <w:rPr>
          <w:rFonts w:ascii="Times New Roman" w:hAnsi="Times New Roman" w:cs="Times New Roman"/>
          <w:i/>
          <w:iCs/>
          <w:noProof/>
          <w:szCs w:val="24"/>
          <w:lang w:val="en-US"/>
        </w:rPr>
        <w:t>J. Mol. Biol.</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428</w:t>
      </w:r>
      <w:r w:rsidRPr="008F1302">
        <w:rPr>
          <w:rFonts w:ascii="Times New Roman" w:hAnsi="Times New Roman" w:cs="Times New Roman"/>
          <w:noProof/>
          <w:szCs w:val="24"/>
          <w:lang w:val="en-US"/>
        </w:rPr>
        <w:t>, 357–364 (2016).</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31.</w:t>
      </w:r>
      <w:r w:rsidRPr="008F1302">
        <w:rPr>
          <w:rFonts w:ascii="Times New Roman" w:hAnsi="Times New Roman" w:cs="Times New Roman"/>
          <w:noProof/>
          <w:szCs w:val="24"/>
          <w:lang w:val="en-US"/>
        </w:rPr>
        <w:tab/>
        <w:t xml:space="preserve">Kozlov, A. G., Cox, M. M. &amp; Lohman, T. M. Regulation of single-stranded DNA binding by the </w:t>
      </w:r>
      <w:r w:rsidRPr="008F1302">
        <w:rPr>
          <w:rFonts w:ascii="Times New Roman" w:hAnsi="Times New Roman" w:cs="Times New Roman"/>
          <w:noProof/>
          <w:szCs w:val="24"/>
          <w:lang w:val="en-US"/>
        </w:rPr>
        <w:lastRenderedPageBreak/>
        <w:t xml:space="preserve">C termini of Escherichia coli single-stranded DNA-binding (SSB) protein. </w:t>
      </w:r>
      <w:r w:rsidRPr="008F1302">
        <w:rPr>
          <w:rFonts w:ascii="Times New Roman" w:hAnsi="Times New Roman" w:cs="Times New Roman"/>
          <w:i/>
          <w:iCs/>
          <w:noProof/>
          <w:szCs w:val="24"/>
          <w:lang w:val="en-US"/>
        </w:rPr>
        <w:t>J. Biol. Chem.</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285</w:t>
      </w:r>
      <w:r w:rsidRPr="008F1302">
        <w:rPr>
          <w:rFonts w:ascii="Times New Roman" w:hAnsi="Times New Roman" w:cs="Times New Roman"/>
          <w:noProof/>
          <w:szCs w:val="24"/>
          <w:lang w:val="en-US"/>
        </w:rPr>
        <w:t>, 17246–17252 (2010).</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32.</w:t>
      </w:r>
      <w:r w:rsidRPr="008F1302">
        <w:rPr>
          <w:rFonts w:ascii="Times New Roman" w:hAnsi="Times New Roman" w:cs="Times New Roman"/>
          <w:noProof/>
          <w:szCs w:val="24"/>
          <w:lang w:val="en-US"/>
        </w:rPr>
        <w:tab/>
        <w:t xml:space="preserve">Sterckx, Y. G. J.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Small-angle X-ray scattering- and nuclear magnetic resonance-derived conformational ensemble of the highly flexible antitoxin PaaA2. </w:t>
      </w:r>
      <w:r w:rsidRPr="008F1302">
        <w:rPr>
          <w:rFonts w:ascii="Times New Roman" w:hAnsi="Times New Roman" w:cs="Times New Roman"/>
          <w:i/>
          <w:iCs/>
          <w:noProof/>
          <w:szCs w:val="24"/>
          <w:lang w:val="en-US"/>
        </w:rPr>
        <w:t>Structure</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22</w:t>
      </w:r>
      <w:r w:rsidRPr="008F1302">
        <w:rPr>
          <w:rFonts w:ascii="Times New Roman" w:hAnsi="Times New Roman" w:cs="Times New Roman"/>
          <w:noProof/>
          <w:szCs w:val="24"/>
          <w:lang w:val="en-US"/>
        </w:rPr>
        <w:t>, 854–865 (2014).</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8F1302">
        <w:rPr>
          <w:rFonts w:ascii="Times New Roman" w:hAnsi="Times New Roman" w:cs="Times New Roman"/>
          <w:noProof/>
          <w:szCs w:val="24"/>
          <w:lang w:val="en-US"/>
        </w:rPr>
        <w:t>33.</w:t>
      </w:r>
      <w:r w:rsidRPr="008F1302">
        <w:rPr>
          <w:rFonts w:ascii="Times New Roman" w:hAnsi="Times New Roman" w:cs="Times New Roman"/>
          <w:noProof/>
          <w:szCs w:val="24"/>
          <w:lang w:val="en-US"/>
        </w:rPr>
        <w:tab/>
        <w:t xml:space="preserve">Sterckx, Y. G. J.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A unique hetero-hexadecameric architecture displayed by the Escherichia coli O157 PaaA2-ParE2 antitoxin-toxin complex. </w:t>
      </w:r>
      <w:r w:rsidRPr="008F1302">
        <w:rPr>
          <w:rFonts w:ascii="Times New Roman" w:hAnsi="Times New Roman" w:cs="Times New Roman"/>
          <w:i/>
          <w:iCs/>
          <w:noProof/>
          <w:szCs w:val="24"/>
          <w:lang w:val="en-US"/>
        </w:rPr>
        <w:t>J. Mol. Biol.</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428</w:t>
      </w:r>
      <w:r w:rsidRPr="008F1302">
        <w:rPr>
          <w:rFonts w:ascii="Times New Roman" w:hAnsi="Times New Roman" w:cs="Times New Roman"/>
          <w:noProof/>
          <w:szCs w:val="24"/>
          <w:lang w:val="en-US"/>
        </w:rPr>
        <w:t>, 1589–1603 (2016).</w:t>
      </w:r>
    </w:p>
    <w:p w:rsidR="00A32DB9" w:rsidRPr="008F1302" w:rsidRDefault="00A32DB9" w:rsidP="00A32DB9">
      <w:pPr>
        <w:widowControl w:val="0"/>
        <w:autoSpaceDE w:val="0"/>
        <w:autoSpaceDN w:val="0"/>
        <w:adjustRightInd w:val="0"/>
        <w:spacing w:line="240" w:lineRule="auto"/>
        <w:ind w:left="640" w:hanging="640"/>
        <w:rPr>
          <w:rFonts w:ascii="Times New Roman" w:hAnsi="Times New Roman" w:cs="Times New Roman"/>
          <w:noProof/>
          <w:lang w:val="en-US"/>
        </w:rPr>
      </w:pPr>
      <w:r w:rsidRPr="008F1302">
        <w:rPr>
          <w:rFonts w:ascii="Times New Roman" w:hAnsi="Times New Roman" w:cs="Times New Roman"/>
          <w:noProof/>
          <w:szCs w:val="24"/>
          <w:lang w:val="en-US"/>
        </w:rPr>
        <w:t>34.</w:t>
      </w:r>
      <w:r w:rsidRPr="008F1302">
        <w:rPr>
          <w:rFonts w:ascii="Times New Roman" w:hAnsi="Times New Roman" w:cs="Times New Roman"/>
          <w:noProof/>
          <w:szCs w:val="24"/>
          <w:lang w:val="en-US"/>
        </w:rPr>
        <w:tab/>
        <w:t xml:space="preserve">Zarubin, M. </w:t>
      </w:r>
      <w:r w:rsidRPr="008F1302">
        <w:rPr>
          <w:rFonts w:ascii="Times New Roman" w:hAnsi="Times New Roman" w:cs="Times New Roman"/>
          <w:i/>
          <w:iCs/>
          <w:noProof/>
          <w:szCs w:val="24"/>
          <w:lang w:val="en-US"/>
        </w:rPr>
        <w:t>et al.</w:t>
      </w:r>
      <w:r w:rsidRPr="008F1302">
        <w:rPr>
          <w:rFonts w:ascii="Times New Roman" w:hAnsi="Times New Roman" w:cs="Times New Roman"/>
          <w:noProof/>
          <w:szCs w:val="24"/>
          <w:lang w:val="en-US"/>
        </w:rPr>
        <w:t xml:space="preserve"> The tardigrade Dsup protein enhances radioresistance in Drosophila melanogaster and acts as an unspecific repressor of transcription. </w:t>
      </w:r>
      <w:r w:rsidRPr="008F1302">
        <w:rPr>
          <w:rFonts w:ascii="Times New Roman" w:hAnsi="Times New Roman" w:cs="Times New Roman"/>
          <w:i/>
          <w:iCs/>
          <w:noProof/>
          <w:szCs w:val="24"/>
          <w:lang w:val="en-US"/>
        </w:rPr>
        <w:t>iScience</w:t>
      </w:r>
      <w:r w:rsidRPr="008F1302">
        <w:rPr>
          <w:rFonts w:ascii="Times New Roman" w:hAnsi="Times New Roman" w:cs="Times New Roman"/>
          <w:noProof/>
          <w:szCs w:val="24"/>
          <w:lang w:val="en-US"/>
        </w:rPr>
        <w:t xml:space="preserve"> </w:t>
      </w:r>
      <w:r w:rsidRPr="008F1302">
        <w:rPr>
          <w:rFonts w:ascii="Times New Roman" w:hAnsi="Times New Roman" w:cs="Times New Roman"/>
          <w:b/>
          <w:bCs/>
          <w:noProof/>
          <w:szCs w:val="24"/>
          <w:lang w:val="en-US"/>
        </w:rPr>
        <w:t>26</w:t>
      </w:r>
      <w:r w:rsidRPr="008F1302">
        <w:rPr>
          <w:rFonts w:ascii="Times New Roman" w:hAnsi="Times New Roman" w:cs="Times New Roman"/>
          <w:noProof/>
          <w:szCs w:val="24"/>
          <w:lang w:val="en-US"/>
        </w:rPr>
        <w:t>, (2023).</w:t>
      </w:r>
    </w:p>
    <w:p w:rsidR="00294ACB" w:rsidRPr="00A32DB9" w:rsidRDefault="00A32DB9">
      <w:pPr>
        <w:rPr>
          <w:rFonts w:ascii="Times New Roman" w:hAnsi="Times New Roman" w:cs="Times New Roman"/>
          <w:lang w:val="en-US"/>
        </w:rPr>
      </w:pPr>
      <w:r w:rsidRPr="00A32DB9">
        <w:rPr>
          <w:rFonts w:ascii="Times New Roman" w:hAnsi="Times New Roman" w:cs="Times New Roman"/>
          <w:lang w:val="en-US"/>
        </w:rPr>
        <w:fldChar w:fldCharType="end"/>
      </w:r>
    </w:p>
    <w:sectPr w:rsidR="00294ACB" w:rsidRPr="00A32D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B9"/>
    <w:rsid w:val="00026603"/>
    <w:rsid w:val="00135FAA"/>
    <w:rsid w:val="00341FF8"/>
    <w:rsid w:val="008C3B6C"/>
    <w:rsid w:val="008F1302"/>
    <w:rsid w:val="00965526"/>
    <w:rsid w:val="00992D17"/>
    <w:rsid w:val="00A3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828A3-7463-4AC1-9A05-98007D0AA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2DB9"/>
    <w:pPr>
      <w:spacing w:after="0" w:line="240" w:lineRule="auto"/>
    </w:pPr>
    <w:rPr>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hyperlink" Target="http://pappulab.wustl.edu/CID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F4E7F-9931-44C9-B979-6E6BE15F9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16277</Words>
  <Characters>92780</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cp:revision>
  <dcterms:created xsi:type="dcterms:W3CDTF">2024-07-26T14:09:00Z</dcterms:created>
  <dcterms:modified xsi:type="dcterms:W3CDTF">2024-07-26T14:12:00Z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f63a2c62-3334-3486-b1ed-bbc389511941</vt:lpwstr>
  </property>
  <property fmtid="{D5CDD505-2E9C-101B-9397-08002B2CF9AE}" pid="4" name="Mendeley Citation Style_1">
    <vt:lpwstr>http://www.zotero.org/styles/nature</vt:lpwstr>
  </property>
  <property fmtid="{D5CDD505-2E9C-101B-9397-08002B2CF9AE}" pid="5" name="Mendeley Recent Style Id 0_1">
    <vt:lpwstr>http://www.zotero.org/styles/emerald-harvard</vt:lpwstr>
  </property>
  <property fmtid="{D5CDD505-2E9C-101B-9397-08002B2CF9AE}" pid="6" name="Mendeley Recent Style Name 0_1">
    <vt:lpwstr>Emerald - Harvard</vt:lpwstr>
  </property>
  <property fmtid="{D5CDD505-2E9C-101B-9397-08002B2CF9AE}" pid="7" name="Mendeley Recent Style Id 1_1">
    <vt:lpwstr>http://www.zotero.org/styles/harvard1</vt:lpwstr>
  </property>
  <property fmtid="{D5CDD505-2E9C-101B-9397-08002B2CF9AE}" pid="8" name="Mendeley Recent Style Name 1_1">
    <vt:lpwstr>Harvard reference format 1 (deprecated)</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http://www.zotero.org/styles/insect-biochemistry-and-molecular-biology</vt:lpwstr>
  </property>
  <property fmtid="{D5CDD505-2E9C-101B-9397-08002B2CF9AE}" pid="12" name="Mendeley Recent Style Name 3_1">
    <vt:lpwstr>Insect Biochemistry and Molecular Biology</vt:lpwstr>
  </property>
  <property fmtid="{D5CDD505-2E9C-101B-9397-08002B2CF9AE}" pid="13" name="Mendeley Recent Style Id 4_1">
    <vt:lpwstr>http://www.zotero.org/styles/harvard-london-south-bank-university</vt:lpwstr>
  </property>
  <property fmtid="{D5CDD505-2E9C-101B-9397-08002B2CF9AE}" pid="14" name="Mendeley Recent Style Name 4_1">
    <vt:lpwstr>London South Bank University - Harvard</vt:lpwstr>
  </property>
  <property fmtid="{D5CDD505-2E9C-101B-9397-08002B2CF9AE}" pid="15" name="Mendeley Recent Style Id 5_1">
    <vt:lpwstr>http://www.zotero.org/styles/multidisciplinary-digital-publishing-institute</vt:lpwstr>
  </property>
  <property fmtid="{D5CDD505-2E9C-101B-9397-08002B2CF9AE}" pid="16" name="Mendeley Recent Style Name 5_1">
    <vt:lpwstr>Multidisciplinary Digital Publishing Institute</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http://www.zotero.org/styles/iscience</vt:lpwstr>
  </property>
  <property fmtid="{D5CDD505-2E9C-101B-9397-08002B2CF9AE}" pid="24" name="Mendeley Recent Style Name 9_1">
    <vt:lpwstr>iScience</vt:lpwstr>
  </property>
</Properties>
</file>