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CF2430" w14:textId="77777777" w:rsidR="00990973" w:rsidRPr="00752569" w:rsidRDefault="00990973" w:rsidP="00990973">
      <w:pPr>
        <w:spacing w:line="480" w:lineRule="auto"/>
        <w:rPr>
          <w:rFonts w:ascii="Arial" w:hAnsi="Arial" w:cs="Arial"/>
          <w:b/>
          <w:bCs/>
        </w:rPr>
      </w:pPr>
      <w:r w:rsidRPr="00752569">
        <w:rPr>
          <w:rFonts w:ascii="Arial" w:hAnsi="Arial" w:cs="Arial"/>
          <w:b/>
          <w:bCs/>
        </w:rPr>
        <w:t xml:space="preserve">Genetic knock-in of </w:t>
      </w:r>
      <w:r w:rsidRPr="00752569">
        <w:rPr>
          <w:rFonts w:ascii="Arial" w:hAnsi="Arial" w:cs="Arial"/>
          <w:b/>
          <w:bCs/>
          <w:i/>
          <w:iCs/>
        </w:rPr>
        <w:t>EIF2AK3</w:t>
      </w:r>
      <w:r w:rsidRPr="00752569">
        <w:rPr>
          <w:rFonts w:ascii="Arial" w:hAnsi="Arial" w:cs="Arial"/>
          <w:b/>
          <w:bCs/>
        </w:rPr>
        <w:t xml:space="preserve"> variants reveals differences in PERK activity in mouse liver and pancreas under endoplasmic reticulum stress</w:t>
      </w:r>
    </w:p>
    <w:p w14:paraId="63AC39E0" w14:textId="77777777" w:rsidR="00990973" w:rsidRPr="00752569" w:rsidRDefault="00990973" w:rsidP="00990973">
      <w:pPr>
        <w:spacing w:line="480" w:lineRule="auto"/>
        <w:rPr>
          <w:rFonts w:ascii="Arial" w:hAnsi="Arial" w:cs="Arial"/>
        </w:rPr>
      </w:pPr>
    </w:p>
    <w:p w14:paraId="61352A8D" w14:textId="1D69CB09" w:rsidR="00990973" w:rsidRPr="00752569" w:rsidRDefault="00990973" w:rsidP="00990973">
      <w:pPr>
        <w:spacing w:line="480" w:lineRule="auto"/>
        <w:rPr>
          <w:rFonts w:ascii="Arial" w:hAnsi="Arial" w:cs="Arial"/>
          <w:vertAlign w:val="superscript"/>
        </w:rPr>
      </w:pPr>
      <w:r w:rsidRPr="00752569">
        <w:rPr>
          <w:rFonts w:ascii="Arial" w:hAnsi="Arial" w:cs="Arial"/>
        </w:rPr>
        <w:t>Shivesh Ghura</w:t>
      </w:r>
      <w:r w:rsidRPr="00752569">
        <w:rPr>
          <w:rFonts w:ascii="Arial" w:hAnsi="Arial" w:cs="Arial"/>
          <w:vertAlign w:val="superscript"/>
        </w:rPr>
        <w:t>1</w:t>
      </w:r>
      <w:r w:rsidRPr="00752569">
        <w:rPr>
          <w:rFonts w:ascii="Arial" w:hAnsi="Arial" w:cs="Arial"/>
        </w:rPr>
        <w:t>, Noah R. Beratan</w:t>
      </w:r>
      <w:r w:rsidRPr="00752569">
        <w:rPr>
          <w:rFonts w:ascii="Arial" w:hAnsi="Arial" w:cs="Arial"/>
          <w:vertAlign w:val="superscript"/>
        </w:rPr>
        <w:t>1</w:t>
      </w:r>
      <w:r w:rsidRPr="00752569">
        <w:rPr>
          <w:rFonts w:ascii="Arial" w:hAnsi="Arial" w:cs="Arial"/>
        </w:rPr>
        <w:t>, Xinglong Shi</w:t>
      </w:r>
      <w:r w:rsidRPr="00752569">
        <w:rPr>
          <w:rFonts w:ascii="Arial" w:hAnsi="Arial" w:cs="Arial"/>
          <w:vertAlign w:val="superscript"/>
        </w:rPr>
        <w:t>1</w:t>
      </w:r>
      <w:r w:rsidRPr="00752569">
        <w:rPr>
          <w:rFonts w:ascii="Arial" w:hAnsi="Arial" w:cs="Arial"/>
        </w:rPr>
        <w:t xml:space="preserve">, </w:t>
      </w:r>
      <w:r w:rsidRPr="002A6F92">
        <w:rPr>
          <w:rFonts w:ascii="Arial" w:hAnsi="Arial" w:cs="Arial"/>
          <w:color w:val="FF0000"/>
        </w:rPr>
        <w:t>Elena A</w:t>
      </w:r>
      <w:r w:rsidR="002A6F92" w:rsidRPr="002A6F92">
        <w:rPr>
          <w:rFonts w:ascii="Arial" w:hAnsi="Arial" w:cs="Arial"/>
          <w:color w:val="FF0000"/>
        </w:rPr>
        <w:t>lvarez-</w:t>
      </w:r>
      <w:r w:rsidRPr="002A6F92">
        <w:rPr>
          <w:rFonts w:ascii="Arial" w:hAnsi="Arial" w:cs="Arial"/>
          <w:color w:val="FF0000"/>
        </w:rPr>
        <w:t>Periel</w:t>
      </w:r>
      <w:r w:rsidRPr="00752569">
        <w:rPr>
          <w:rFonts w:ascii="Arial" w:hAnsi="Arial" w:cs="Arial"/>
          <w:vertAlign w:val="superscript"/>
        </w:rPr>
        <w:t>1</w:t>
      </w:r>
      <w:r w:rsidRPr="00752569">
        <w:rPr>
          <w:rFonts w:ascii="Arial" w:hAnsi="Arial" w:cs="Arial"/>
        </w:rPr>
        <w:t>, Sarah E. Bond Newton</w:t>
      </w:r>
      <w:r w:rsidRPr="00752569">
        <w:rPr>
          <w:rFonts w:ascii="Arial" w:hAnsi="Arial" w:cs="Arial"/>
          <w:vertAlign w:val="superscript"/>
        </w:rPr>
        <w:t>1,2</w:t>
      </w:r>
      <w:r w:rsidRPr="00752569">
        <w:rPr>
          <w:rFonts w:ascii="Arial" w:hAnsi="Arial" w:cs="Arial"/>
        </w:rPr>
        <w:t>, Cagla Akay-Espinoza</w:t>
      </w:r>
      <w:r w:rsidRPr="00752569">
        <w:rPr>
          <w:rFonts w:ascii="Arial" w:hAnsi="Arial" w:cs="Arial"/>
          <w:vertAlign w:val="superscript"/>
        </w:rPr>
        <w:t>1</w:t>
      </w:r>
      <w:r w:rsidRPr="00752569">
        <w:rPr>
          <w:rFonts w:ascii="Arial" w:hAnsi="Arial" w:cs="Arial"/>
        </w:rPr>
        <w:t>, and Kelly L. Jordan-Sciutto</w:t>
      </w:r>
      <w:r w:rsidRPr="00752569">
        <w:rPr>
          <w:rFonts w:ascii="Arial" w:hAnsi="Arial" w:cs="Arial"/>
          <w:vertAlign w:val="superscript"/>
        </w:rPr>
        <w:t>1</w:t>
      </w:r>
    </w:p>
    <w:p w14:paraId="4FAE5DCE" w14:textId="77777777" w:rsidR="00990973" w:rsidRPr="00752569" w:rsidRDefault="00990973" w:rsidP="00990973">
      <w:pPr>
        <w:spacing w:line="480" w:lineRule="auto"/>
        <w:rPr>
          <w:rFonts w:ascii="Arial" w:hAnsi="Arial" w:cs="Arial"/>
          <w:b/>
          <w:bCs/>
        </w:rPr>
      </w:pPr>
    </w:p>
    <w:p w14:paraId="6F5187F7" w14:textId="77777777" w:rsidR="00990973" w:rsidRPr="00752569" w:rsidRDefault="00990973" w:rsidP="00990973">
      <w:pPr>
        <w:spacing w:line="480" w:lineRule="auto"/>
        <w:rPr>
          <w:rFonts w:ascii="Arial" w:hAnsi="Arial" w:cs="Arial"/>
        </w:rPr>
      </w:pPr>
      <w:r w:rsidRPr="00752569">
        <w:rPr>
          <w:rFonts w:ascii="Arial" w:hAnsi="Arial" w:cs="Arial"/>
          <w:vertAlign w:val="superscript"/>
        </w:rPr>
        <w:t>1</w:t>
      </w:r>
      <w:r w:rsidRPr="00752569">
        <w:rPr>
          <w:rFonts w:ascii="Arial" w:hAnsi="Arial" w:cs="Arial"/>
        </w:rPr>
        <w:t>Department of Oral Medicine, School of Dental Medicine, University of Pennsylvania, Philadelphia, PA</w:t>
      </w:r>
      <w:r>
        <w:rPr>
          <w:rFonts w:ascii="Arial" w:hAnsi="Arial" w:cs="Arial"/>
        </w:rPr>
        <w:t xml:space="preserve"> 19104</w:t>
      </w:r>
    </w:p>
    <w:p w14:paraId="25DA10A8" w14:textId="77777777" w:rsidR="00990973" w:rsidRPr="00752569" w:rsidRDefault="00990973" w:rsidP="00990973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752569">
        <w:rPr>
          <w:rFonts w:ascii="Arial" w:hAnsi="Arial" w:cs="Arial"/>
          <w:sz w:val="24"/>
          <w:szCs w:val="24"/>
          <w:vertAlign w:val="superscript"/>
        </w:rPr>
        <w:t>2</w:t>
      </w:r>
      <w:r w:rsidRPr="00752569">
        <w:rPr>
          <w:rFonts w:ascii="Arial" w:hAnsi="Arial" w:cs="Arial"/>
          <w:sz w:val="24"/>
          <w:szCs w:val="24"/>
        </w:rPr>
        <w:t>Weinberg ALS Center, Farber Institute for Neuroscience, Department of Neuroscience, Thomas Jefferson University, Philadelphia, PA 19107</w:t>
      </w:r>
    </w:p>
    <w:p w14:paraId="39BDD5AC" w14:textId="77777777" w:rsidR="00990973" w:rsidRPr="00752569" w:rsidRDefault="00990973" w:rsidP="00990973">
      <w:pPr>
        <w:spacing w:line="480" w:lineRule="auto"/>
        <w:rPr>
          <w:rFonts w:ascii="Arial" w:hAnsi="Arial" w:cs="Arial"/>
          <w:b/>
          <w:bCs/>
        </w:rPr>
      </w:pPr>
    </w:p>
    <w:p w14:paraId="42BAFCC1" w14:textId="77777777" w:rsidR="00990973" w:rsidRPr="00752569" w:rsidRDefault="00990973" w:rsidP="00990973">
      <w:pPr>
        <w:spacing w:line="480" w:lineRule="auto"/>
        <w:rPr>
          <w:rFonts w:ascii="Arial" w:hAnsi="Arial" w:cs="Arial"/>
          <w:b/>
          <w:bCs/>
          <w:vertAlign w:val="superscript"/>
        </w:rPr>
      </w:pPr>
    </w:p>
    <w:p w14:paraId="1A7F46B7" w14:textId="77777777" w:rsidR="00990973" w:rsidRPr="00752569" w:rsidRDefault="00990973" w:rsidP="00990973">
      <w:pPr>
        <w:spacing w:line="480" w:lineRule="auto"/>
        <w:rPr>
          <w:rFonts w:ascii="Arial" w:hAnsi="Arial" w:cs="Arial"/>
          <w:b/>
          <w:bCs/>
        </w:rPr>
      </w:pPr>
      <w:r w:rsidRPr="00752569">
        <w:rPr>
          <w:rFonts w:ascii="Arial" w:hAnsi="Arial" w:cs="Arial"/>
          <w:b/>
          <w:bCs/>
        </w:rPr>
        <w:t xml:space="preserve">Corresponding author: </w:t>
      </w:r>
    </w:p>
    <w:p w14:paraId="1FC8A2B7" w14:textId="77777777" w:rsidR="00990973" w:rsidRPr="00752569" w:rsidRDefault="00990973" w:rsidP="00990973">
      <w:pPr>
        <w:spacing w:line="480" w:lineRule="auto"/>
        <w:rPr>
          <w:rFonts w:ascii="Arial" w:hAnsi="Arial" w:cs="Arial"/>
        </w:rPr>
      </w:pPr>
      <w:r w:rsidRPr="00752569">
        <w:rPr>
          <w:rFonts w:ascii="Arial" w:hAnsi="Arial" w:cs="Arial"/>
        </w:rPr>
        <w:t>Kelly L. Jordan-Sciutto</w:t>
      </w:r>
    </w:p>
    <w:p w14:paraId="6F16FDDA" w14:textId="77777777" w:rsidR="00990973" w:rsidRPr="00752569" w:rsidRDefault="00990973" w:rsidP="00990973">
      <w:pPr>
        <w:spacing w:line="480" w:lineRule="auto"/>
        <w:rPr>
          <w:rFonts w:ascii="Arial" w:hAnsi="Arial" w:cs="Arial"/>
        </w:rPr>
      </w:pPr>
      <w:r w:rsidRPr="00752569">
        <w:rPr>
          <w:rFonts w:ascii="Arial" w:hAnsi="Arial" w:cs="Arial"/>
        </w:rPr>
        <w:t>Department of Oral Medicine, School of Dental Medicine, University of Pennsylvania</w:t>
      </w:r>
    </w:p>
    <w:p w14:paraId="601576F3" w14:textId="77777777" w:rsidR="00990973" w:rsidRPr="00752569" w:rsidRDefault="00990973" w:rsidP="00990973">
      <w:pPr>
        <w:spacing w:line="480" w:lineRule="auto"/>
        <w:rPr>
          <w:rFonts w:ascii="Arial" w:hAnsi="Arial" w:cs="Arial"/>
        </w:rPr>
      </w:pPr>
      <w:r w:rsidRPr="00752569">
        <w:rPr>
          <w:rFonts w:ascii="Arial" w:hAnsi="Arial" w:cs="Arial"/>
        </w:rPr>
        <w:t>240 S. 40th St, Rm 312 Levy, Philadelphia, PA 19104</w:t>
      </w:r>
    </w:p>
    <w:p w14:paraId="328131B4" w14:textId="77777777" w:rsidR="00990973" w:rsidRPr="00752569" w:rsidRDefault="00990973" w:rsidP="00990973">
      <w:pPr>
        <w:spacing w:line="480" w:lineRule="auto"/>
        <w:rPr>
          <w:rFonts w:ascii="Arial" w:hAnsi="Arial" w:cs="Arial"/>
        </w:rPr>
      </w:pPr>
      <w:r w:rsidRPr="00752569">
        <w:rPr>
          <w:rFonts w:ascii="Arial" w:hAnsi="Arial" w:cs="Arial"/>
        </w:rPr>
        <w:t>Phone:  215-898-4196; E-mail:  jordank@upenn.edu</w:t>
      </w:r>
    </w:p>
    <w:p w14:paraId="215C8FAC" w14:textId="77777777" w:rsidR="00990973" w:rsidRPr="00752569" w:rsidRDefault="00990973" w:rsidP="00990973">
      <w:pPr>
        <w:rPr>
          <w:rFonts w:ascii="Arial" w:hAnsi="Arial" w:cs="Arial"/>
        </w:rPr>
      </w:pPr>
    </w:p>
    <w:p w14:paraId="770085AF" w14:textId="77777777" w:rsidR="00990973" w:rsidRPr="00752569" w:rsidRDefault="00990973" w:rsidP="00990973">
      <w:pPr>
        <w:rPr>
          <w:rFonts w:ascii="Arial" w:hAnsi="Arial" w:cs="Arial"/>
          <w:b/>
          <w:bCs/>
        </w:rPr>
      </w:pPr>
      <w:r w:rsidRPr="00752569">
        <w:rPr>
          <w:rFonts w:ascii="Arial" w:hAnsi="Arial" w:cs="Arial"/>
          <w:b/>
          <w:bCs/>
        </w:rPr>
        <w:br w:type="page"/>
      </w:r>
    </w:p>
    <w:p w14:paraId="2D9C4A7D" w14:textId="77777777" w:rsidR="00990973" w:rsidRPr="00752569" w:rsidRDefault="00990973" w:rsidP="00990973">
      <w:pPr>
        <w:spacing w:line="480" w:lineRule="auto"/>
        <w:rPr>
          <w:rFonts w:ascii="Arial" w:hAnsi="Arial" w:cs="Arial"/>
          <w:b/>
          <w:bCs/>
        </w:rPr>
      </w:pPr>
      <w:r w:rsidRPr="00752569">
        <w:rPr>
          <w:rFonts w:ascii="Arial" w:hAnsi="Arial" w:cs="Arial"/>
          <w:b/>
          <w:bCs/>
        </w:rPr>
        <w:lastRenderedPageBreak/>
        <w:t>Supplementa</w:t>
      </w:r>
      <w:r>
        <w:rPr>
          <w:rFonts w:ascii="Arial" w:hAnsi="Arial" w:cs="Arial"/>
          <w:b/>
          <w:bCs/>
        </w:rPr>
        <w:t>ry</w:t>
      </w:r>
      <w:r w:rsidRPr="00752569">
        <w:rPr>
          <w:rFonts w:ascii="Arial" w:hAnsi="Arial" w:cs="Arial"/>
          <w:b/>
          <w:bCs/>
        </w:rPr>
        <w:t xml:space="preserve"> Material</w:t>
      </w:r>
    </w:p>
    <w:p w14:paraId="085E9E8C" w14:textId="24A6CA0A" w:rsidR="00D10CF6" w:rsidRPr="00C3562F" w:rsidRDefault="00D10CF6" w:rsidP="00D10CF6">
      <w:pPr>
        <w:spacing w:line="480" w:lineRule="auto"/>
        <w:rPr>
          <w:rFonts w:ascii="Arial" w:hAnsi="Arial" w:cs="Arial"/>
        </w:rPr>
      </w:pPr>
      <w:r w:rsidRPr="001C4B38">
        <w:rPr>
          <w:rFonts w:ascii="Arial" w:hAnsi="Arial" w:cs="Arial"/>
          <w:b/>
          <w:bCs/>
        </w:rPr>
        <w:t>Figure S</w:t>
      </w:r>
      <w:r>
        <w:rPr>
          <w:rFonts w:ascii="Arial" w:hAnsi="Arial" w:cs="Arial"/>
          <w:b/>
          <w:bCs/>
        </w:rPr>
        <w:t>1</w:t>
      </w:r>
      <w:r w:rsidRPr="001C4B38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Full representative blot of the cell-free kinase assay shown in Figure 1. The original blots include the conditions examining the kinase activity of PERK-D, which is not a focus of this study.</w:t>
      </w:r>
    </w:p>
    <w:p w14:paraId="475BBEEB" w14:textId="77777777" w:rsidR="00D10CF6" w:rsidRDefault="00D10CF6" w:rsidP="00990973">
      <w:pPr>
        <w:spacing w:line="480" w:lineRule="auto"/>
        <w:rPr>
          <w:rFonts w:ascii="Arial" w:hAnsi="Arial" w:cs="Arial"/>
          <w:b/>
          <w:bCs/>
        </w:rPr>
      </w:pPr>
    </w:p>
    <w:p w14:paraId="44E3DA90" w14:textId="3384C5F6" w:rsidR="000D267F" w:rsidRDefault="000D267F" w:rsidP="000D267F">
      <w:pPr>
        <w:spacing w:line="480" w:lineRule="auto"/>
        <w:rPr>
          <w:rFonts w:ascii="Arial" w:hAnsi="Arial" w:cs="Arial"/>
          <w:color w:val="FF0000"/>
        </w:rPr>
      </w:pPr>
      <w:r w:rsidRPr="00BD2144">
        <w:rPr>
          <w:rFonts w:ascii="Arial" w:hAnsi="Arial" w:cs="Arial"/>
          <w:b/>
          <w:bCs/>
          <w:color w:val="FF0000"/>
        </w:rPr>
        <w:t>Figure S</w:t>
      </w:r>
      <w:r>
        <w:rPr>
          <w:rFonts w:ascii="Arial" w:hAnsi="Arial" w:cs="Arial"/>
          <w:b/>
          <w:bCs/>
          <w:color w:val="FF0000"/>
        </w:rPr>
        <w:t>2</w:t>
      </w:r>
      <w:r w:rsidRPr="00BD2144">
        <w:rPr>
          <w:rFonts w:ascii="Arial" w:hAnsi="Arial" w:cs="Arial"/>
          <w:b/>
          <w:bCs/>
          <w:color w:val="FF0000"/>
        </w:rPr>
        <w:t xml:space="preserve">. </w:t>
      </w:r>
      <w:r w:rsidRPr="000D267F">
        <w:rPr>
          <w:rFonts w:ascii="Arial" w:hAnsi="Arial" w:cs="Arial"/>
          <w:color w:val="FF0000"/>
        </w:rPr>
        <w:t>Full b</w:t>
      </w:r>
      <w:r w:rsidRPr="00BD2144">
        <w:rPr>
          <w:rFonts w:ascii="Arial" w:hAnsi="Arial" w:cs="Arial"/>
          <w:color w:val="FF0000"/>
        </w:rPr>
        <w:t xml:space="preserve">lots shown in Figure </w:t>
      </w:r>
      <w:r>
        <w:rPr>
          <w:rFonts w:ascii="Arial" w:hAnsi="Arial" w:cs="Arial"/>
          <w:color w:val="FF0000"/>
        </w:rPr>
        <w:t>2.</w:t>
      </w:r>
    </w:p>
    <w:p w14:paraId="4A015DD6" w14:textId="77777777" w:rsidR="000D267F" w:rsidRPr="00BD2144" w:rsidRDefault="000D267F" w:rsidP="000D267F">
      <w:pPr>
        <w:spacing w:line="480" w:lineRule="auto"/>
        <w:rPr>
          <w:rFonts w:ascii="Arial" w:hAnsi="Arial" w:cs="Arial"/>
          <w:color w:val="FF0000"/>
        </w:rPr>
      </w:pPr>
    </w:p>
    <w:p w14:paraId="5FE276DF" w14:textId="183BB037" w:rsidR="00990973" w:rsidRPr="00752569" w:rsidRDefault="00990973" w:rsidP="00990973">
      <w:pPr>
        <w:spacing w:line="480" w:lineRule="auto"/>
        <w:rPr>
          <w:rFonts w:ascii="Arial" w:hAnsi="Arial" w:cs="Arial"/>
        </w:rPr>
      </w:pPr>
      <w:r w:rsidRPr="00752569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</w:t>
      </w:r>
      <w:r w:rsidR="000D267F">
        <w:rPr>
          <w:rFonts w:ascii="Arial" w:hAnsi="Arial" w:cs="Arial"/>
          <w:b/>
          <w:bCs/>
        </w:rPr>
        <w:t>3</w:t>
      </w:r>
      <w:r w:rsidRPr="00752569">
        <w:rPr>
          <w:rFonts w:ascii="Arial" w:hAnsi="Arial" w:cs="Arial"/>
          <w:b/>
          <w:bCs/>
        </w:rPr>
        <w:t>.</w:t>
      </w:r>
      <w:r w:rsidRPr="00752569">
        <w:rPr>
          <w:rFonts w:ascii="Arial" w:hAnsi="Arial" w:cs="Arial"/>
        </w:rPr>
        <w:t xml:space="preserve"> PERK-B SNVs do not alter breeding and growth</w:t>
      </w:r>
      <w:r>
        <w:rPr>
          <w:rFonts w:ascii="Arial" w:hAnsi="Arial" w:cs="Arial"/>
        </w:rPr>
        <w:t xml:space="preserve"> phenotype in mice</w:t>
      </w:r>
      <w:r w:rsidRPr="00752569">
        <w:rPr>
          <w:rFonts w:ascii="Arial" w:hAnsi="Arial" w:cs="Arial"/>
        </w:rPr>
        <w:t xml:space="preserve">. </w:t>
      </w:r>
      <w:r w:rsidRPr="00752569">
        <w:rPr>
          <w:rFonts w:ascii="Arial" w:hAnsi="Arial" w:cs="Arial"/>
          <w:b/>
          <w:bCs/>
        </w:rPr>
        <w:t>A</w:t>
      </w:r>
      <w:r w:rsidRPr="00ED1002">
        <w:rPr>
          <w:rFonts w:ascii="Arial" w:hAnsi="Arial" w:cs="Arial"/>
          <w:b/>
          <w:bCs/>
        </w:rPr>
        <w:t>–</w:t>
      </w:r>
      <w:r w:rsidRPr="00752569"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</w:rPr>
        <w:t>.</w:t>
      </w:r>
      <w:r w:rsidRPr="00752569">
        <w:rPr>
          <w:rFonts w:ascii="Arial" w:hAnsi="Arial" w:cs="Arial"/>
        </w:rPr>
        <w:t xml:space="preserve"> General phenotyping shows similar allelic distribution (</w:t>
      </w:r>
      <w:r w:rsidRPr="00752569">
        <w:rPr>
          <w:rFonts w:ascii="Arial" w:hAnsi="Arial" w:cs="Arial"/>
          <w:b/>
          <w:bCs/>
        </w:rPr>
        <w:t>A</w:t>
      </w:r>
      <w:r w:rsidRPr="00752569">
        <w:rPr>
          <w:rFonts w:ascii="Arial" w:hAnsi="Arial" w:cs="Arial"/>
        </w:rPr>
        <w:t>), litter size (</w:t>
      </w:r>
      <w:r w:rsidRPr="00752569">
        <w:rPr>
          <w:rFonts w:ascii="Arial" w:hAnsi="Arial" w:cs="Arial"/>
          <w:b/>
          <w:bCs/>
        </w:rPr>
        <w:t>B</w:t>
      </w:r>
      <w:r w:rsidRPr="00752569">
        <w:rPr>
          <w:rFonts w:ascii="Arial" w:hAnsi="Arial" w:cs="Arial"/>
        </w:rPr>
        <w:t>), litter frequency (</w:t>
      </w:r>
      <w:r>
        <w:rPr>
          <w:rFonts w:ascii="Arial" w:hAnsi="Arial" w:cs="Arial"/>
          <w:b/>
          <w:bCs/>
        </w:rPr>
        <w:t>C</w:t>
      </w:r>
      <w:r w:rsidRPr="00752569">
        <w:rPr>
          <w:rFonts w:ascii="Arial" w:hAnsi="Arial" w:cs="Arial"/>
        </w:rPr>
        <w:t>), and growth pattern (</w:t>
      </w:r>
      <w:r w:rsidRPr="00752569">
        <w:rPr>
          <w:rFonts w:ascii="Arial" w:hAnsi="Arial" w:cs="Arial"/>
          <w:b/>
          <w:bCs/>
        </w:rPr>
        <w:t>D,</w:t>
      </w:r>
      <w:r>
        <w:rPr>
          <w:rFonts w:ascii="Arial" w:hAnsi="Arial" w:cs="Arial"/>
          <w:b/>
          <w:bCs/>
        </w:rPr>
        <w:t xml:space="preserve"> </w:t>
      </w:r>
      <w:r w:rsidRPr="00752569">
        <w:rPr>
          <w:rFonts w:ascii="Arial" w:hAnsi="Arial" w:cs="Arial"/>
          <w:b/>
          <w:bCs/>
        </w:rPr>
        <w:t>E</w:t>
      </w:r>
      <w:r w:rsidRPr="00752569">
        <w:rPr>
          <w:rFonts w:ascii="Arial" w:hAnsi="Arial" w:cs="Arial"/>
        </w:rPr>
        <w:t xml:space="preserve">) between </w:t>
      </w:r>
      <w:r>
        <w:rPr>
          <w:rFonts w:ascii="Arial" w:hAnsi="Arial" w:cs="Arial"/>
        </w:rPr>
        <w:t xml:space="preserve">the </w:t>
      </w:r>
      <w:r w:rsidRPr="00752569">
        <w:rPr>
          <w:rFonts w:ascii="Arial" w:hAnsi="Arial" w:cs="Arial"/>
        </w:rPr>
        <w:t>PERK-B/B and PERK-A/A mouse lines.</w:t>
      </w:r>
    </w:p>
    <w:p w14:paraId="0DF74492" w14:textId="77777777" w:rsidR="00990973" w:rsidRPr="00752569" w:rsidRDefault="00990973" w:rsidP="00990973">
      <w:pPr>
        <w:spacing w:line="480" w:lineRule="auto"/>
        <w:rPr>
          <w:rFonts w:ascii="Arial" w:hAnsi="Arial" w:cs="Arial"/>
        </w:rPr>
      </w:pPr>
    </w:p>
    <w:p w14:paraId="620E5CAB" w14:textId="4CB6BC33" w:rsidR="00990973" w:rsidRPr="00752569" w:rsidRDefault="00990973" w:rsidP="00990973">
      <w:pPr>
        <w:spacing w:line="480" w:lineRule="auto"/>
        <w:rPr>
          <w:rFonts w:ascii="Arial" w:hAnsi="Arial" w:cs="Arial"/>
        </w:rPr>
      </w:pPr>
      <w:r w:rsidRPr="00752569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</w:t>
      </w:r>
      <w:r w:rsidR="000D267F">
        <w:rPr>
          <w:rFonts w:ascii="Arial" w:hAnsi="Arial" w:cs="Arial"/>
          <w:b/>
          <w:bCs/>
        </w:rPr>
        <w:t>4</w:t>
      </w:r>
      <w:r w:rsidRPr="00752569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</w:rPr>
        <w:t>Notable</w:t>
      </w:r>
      <w:r w:rsidRPr="00752569">
        <w:rPr>
          <w:rFonts w:ascii="Arial" w:hAnsi="Arial" w:cs="Arial"/>
        </w:rPr>
        <w:t xml:space="preserve"> organ-specific pathologies </w:t>
      </w:r>
      <w:r>
        <w:rPr>
          <w:rFonts w:ascii="Arial" w:hAnsi="Arial" w:cs="Arial"/>
        </w:rPr>
        <w:t>observed in older mice</w:t>
      </w:r>
      <w:r w:rsidRPr="00752569">
        <w:rPr>
          <w:rFonts w:ascii="Arial" w:hAnsi="Arial" w:cs="Arial"/>
        </w:rPr>
        <w:t xml:space="preserve">. </w:t>
      </w:r>
      <w:r w:rsidRPr="00752569">
        <w:rPr>
          <w:rFonts w:ascii="Arial" w:hAnsi="Arial" w:cs="Arial"/>
          <w:b/>
          <w:bCs/>
        </w:rPr>
        <w:t>A-C</w:t>
      </w:r>
      <w:r>
        <w:rPr>
          <w:rFonts w:ascii="Arial" w:hAnsi="Arial" w:cs="Arial"/>
          <w:b/>
          <w:bCs/>
        </w:rPr>
        <w:t>.</w:t>
      </w:r>
      <w:r w:rsidRPr="0075256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Notable </w:t>
      </w:r>
      <w:r w:rsidRPr="00752569">
        <w:rPr>
          <w:rFonts w:ascii="Arial" w:hAnsi="Arial" w:cs="Arial"/>
        </w:rPr>
        <w:t xml:space="preserve">differences observed within PERK-A/A, PERK-A/B, and PERK-B/B aged cohort </w:t>
      </w:r>
      <w:r>
        <w:rPr>
          <w:rFonts w:ascii="Arial" w:hAnsi="Arial" w:cs="Arial"/>
        </w:rPr>
        <w:t>regarding</w:t>
      </w:r>
      <w:r w:rsidRPr="00752569">
        <w:rPr>
          <w:rFonts w:ascii="Arial" w:hAnsi="Arial" w:cs="Arial"/>
        </w:rPr>
        <w:t xml:space="preserve"> acidophilic macrophages in lungs (</w:t>
      </w:r>
      <w:r w:rsidRPr="00752569">
        <w:rPr>
          <w:rFonts w:ascii="Arial" w:hAnsi="Arial" w:cs="Arial"/>
          <w:b/>
          <w:bCs/>
        </w:rPr>
        <w:t>A</w:t>
      </w:r>
      <w:r w:rsidRPr="00752569">
        <w:rPr>
          <w:rFonts w:ascii="Arial" w:hAnsi="Arial" w:cs="Arial"/>
        </w:rPr>
        <w:t>), lymphoid hyperplasia</w:t>
      </w:r>
      <w:r w:rsidRPr="006B1E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 </w:t>
      </w:r>
      <w:r w:rsidRPr="00752569">
        <w:rPr>
          <w:rFonts w:ascii="Arial" w:hAnsi="Arial" w:cs="Arial"/>
        </w:rPr>
        <w:t>spleen (</w:t>
      </w:r>
      <w:r w:rsidRPr="00752569">
        <w:rPr>
          <w:rFonts w:ascii="Arial" w:hAnsi="Arial" w:cs="Arial"/>
          <w:b/>
          <w:bCs/>
        </w:rPr>
        <w:t>B</w:t>
      </w:r>
      <w:r w:rsidRPr="00752569">
        <w:rPr>
          <w:rFonts w:ascii="Arial" w:hAnsi="Arial" w:cs="Arial"/>
        </w:rPr>
        <w:t xml:space="preserve">), </w:t>
      </w:r>
      <w:r>
        <w:rPr>
          <w:rFonts w:ascii="Arial" w:hAnsi="Arial" w:cs="Arial"/>
        </w:rPr>
        <w:t xml:space="preserve">and </w:t>
      </w:r>
      <w:r w:rsidRPr="00752569">
        <w:rPr>
          <w:rFonts w:ascii="Arial" w:hAnsi="Arial" w:cs="Arial"/>
        </w:rPr>
        <w:t xml:space="preserve">protozoal outgrowth in </w:t>
      </w:r>
      <w:r>
        <w:rPr>
          <w:rFonts w:ascii="Arial" w:hAnsi="Arial" w:cs="Arial"/>
        </w:rPr>
        <w:t>the colon</w:t>
      </w:r>
      <w:r w:rsidRPr="00752569">
        <w:rPr>
          <w:rFonts w:ascii="Arial" w:hAnsi="Arial" w:cs="Arial"/>
        </w:rPr>
        <w:t xml:space="preserve"> (</w:t>
      </w:r>
      <w:r w:rsidRPr="00752569">
        <w:rPr>
          <w:rFonts w:ascii="Arial" w:hAnsi="Arial" w:cs="Arial"/>
          <w:b/>
          <w:bCs/>
        </w:rPr>
        <w:t>C</w:t>
      </w:r>
      <w:r w:rsidRPr="00752569">
        <w:rPr>
          <w:rFonts w:ascii="Arial" w:hAnsi="Arial" w:cs="Arial"/>
        </w:rPr>
        <w:t>)</w:t>
      </w:r>
      <w:r>
        <w:rPr>
          <w:rFonts w:ascii="Arial" w:hAnsi="Arial" w:cs="Arial"/>
        </w:rPr>
        <w:t>. O</w:t>
      </w:r>
      <w:r w:rsidRPr="00752569">
        <w:rPr>
          <w:rFonts w:ascii="Arial" w:hAnsi="Arial" w:cs="Arial"/>
        </w:rPr>
        <w:t>ne-way ANOVA, Kruskal</w:t>
      </w:r>
      <w:r>
        <w:rPr>
          <w:rFonts w:ascii="Arial" w:hAnsi="Arial" w:cs="Arial"/>
        </w:rPr>
        <w:t>–</w:t>
      </w:r>
      <w:r w:rsidRPr="00752569">
        <w:rPr>
          <w:rFonts w:ascii="Arial" w:hAnsi="Arial" w:cs="Arial"/>
        </w:rPr>
        <w:t>Wallis test with Dunn’s multiple comparison test for noncontinuous categorical data (n</w:t>
      </w:r>
      <w:r>
        <w:rPr>
          <w:rFonts w:ascii="Arial" w:hAnsi="Arial" w:cs="Arial"/>
        </w:rPr>
        <w:t xml:space="preserve"> </w:t>
      </w:r>
      <w:r w:rsidRPr="00752569">
        <w:rPr>
          <w:rFonts w:ascii="Arial" w:hAnsi="Arial" w:cs="Arial"/>
        </w:rPr>
        <w:t>=</w:t>
      </w:r>
      <w:r>
        <w:rPr>
          <w:rFonts w:ascii="Arial" w:hAnsi="Arial" w:cs="Arial"/>
        </w:rPr>
        <w:t xml:space="preserve"> </w:t>
      </w:r>
      <w:r w:rsidRPr="00752569">
        <w:rPr>
          <w:rFonts w:ascii="Arial" w:hAnsi="Arial" w:cs="Arial"/>
        </w:rPr>
        <w:t>6), *p</w:t>
      </w:r>
      <w:r>
        <w:rPr>
          <w:rFonts w:ascii="Arial" w:hAnsi="Arial" w:cs="Arial"/>
        </w:rPr>
        <w:t xml:space="preserve"> </w:t>
      </w:r>
      <w:r w:rsidRPr="00752569">
        <w:rPr>
          <w:rFonts w:ascii="Arial" w:hAnsi="Arial" w:cs="Arial"/>
        </w:rPr>
        <w:t>&lt;</w:t>
      </w:r>
      <w:r>
        <w:rPr>
          <w:rFonts w:ascii="Arial" w:hAnsi="Arial" w:cs="Arial"/>
        </w:rPr>
        <w:t xml:space="preserve"> </w:t>
      </w:r>
      <w:r w:rsidRPr="00752569">
        <w:rPr>
          <w:rFonts w:ascii="Arial" w:hAnsi="Arial" w:cs="Arial"/>
        </w:rPr>
        <w:t>0.05</w:t>
      </w:r>
      <w:r>
        <w:rPr>
          <w:rFonts w:ascii="Arial" w:hAnsi="Arial" w:cs="Arial"/>
        </w:rPr>
        <w:t>, ns, not significant</w:t>
      </w:r>
    </w:p>
    <w:p w14:paraId="5C05FED6" w14:textId="77777777" w:rsidR="00990973" w:rsidRPr="00752569" w:rsidRDefault="00990973" w:rsidP="00990973">
      <w:pPr>
        <w:spacing w:line="480" w:lineRule="auto"/>
        <w:rPr>
          <w:rFonts w:ascii="Arial" w:hAnsi="Arial" w:cs="Arial"/>
          <w:b/>
          <w:bCs/>
        </w:rPr>
      </w:pPr>
    </w:p>
    <w:p w14:paraId="640AAF61" w14:textId="3771190D" w:rsidR="000D267F" w:rsidRDefault="000D267F" w:rsidP="000D267F">
      <w:pPr>
        <w:spacing w:line="480" w:lineRule="auto"/>
        <w:rPr>
          <w:rFonts w:ascii="Arial" w:hAnsi="Arial" w:cs="Arial"/>
          <w:color w:val="FF0000"/>
        </w:rPr>
      </w:pPr>
      <w:r w:rsidRPr="00BD2144">
        <w:rPr>
          <w:rFonts w:ascii="Arial" w:hAnsi="Arial" w:cs="Arial"/>
          <w:b/>
          <w:bCs/>
          <w:color w:val="FF0000"/>
        </w:rPr>
        <w:t>Figure S</w:t>
      </w:r>
      <w:r>
        <w:rPr>
          <w:rFonts w:ascii="Arial" w:hAnsi="Arial" w:cs="Arial"/>
          <w:b/>
          <w:bCs/>
          <w:color w:val="FF0000"/>
        </w:rPr>
        <w:t>5</w:t>
      </w:r>
      <w:r w:rsidRPr="00BD2144">
        <w:rPr>
          <w:rFonts w:ascii="Arial" w:hAnsi="Arial" w:cs="Arial"/>
          <w:b/>
          <w:bCs/>
          <w:color w:val="FF0000"/>
        </w:rPr>
        <w:t xml:space="preserve">. </w:t>
      </w:r>
      <w:r w:rsidRPr="000D267F">
        <w:rPr>
          <w:rFonts w:ascii="Arial" w:hAnsi="Arial" w:cs="Arial"/>
          <w:color w:val="FF0000"/>
        </w:rPr>
        <w:t>Full b</w:t>
      </w:r>
      <w:r w:rsidRPr="00BD2144">
        <w:rPr>
          <w:rFonts w:ascii="Arial" w:hAnsi="Arial" w:cs="Arial"/>
          <w:color w:val="FF0000"/>
        </w:rPr>
        <w:t xml:space="preserve">lots shown in Figure </w:t>
      </w:r>
      <w:r>
        <w:rPr>
          <w:rFonts w:ascii="Arial" w:hAnsi="Arial" w:cs="Arial"/>
          <w:color w:val="FF0000"/>
        </w:rPr>
        <w:t>4.</w:t>
      </w:r>
    </w:p>
    <w:p w14:paraId="5087BD6C" w14:textId="77777777" w:rsidR="000D267F" w:rsidRDefault="000D267F" w:rsidP="000D267F">
      <w:pPr>
        <w:spacing w:line="480" w:lineRule="auto"/>
        <w:rPr>
          <w:rFonts w:ascii="Arial" w:hAnsi="Arial" w:cs="Arial"/>
          <w:color w:val="FF0000"/>
        </w:rPr>
      </w:pPr>
    </w:p>
    <w:p w14:paraId="6D0E351A" w14:textId="3A2D9C22" w:rsidR="00990973" w:rsidRPr="00752569" w:rsidRDefault="00990973" w:rsidP="00990973">
      <w:pPr>
        <w:spacing w:line="480" w:lineRule="auto"/>
        <w:rPr>
          <w:rFonts w:ascii="Arial" w:hAnsi="Arial" w:cs="Arial"/>
        </w:rPr>
      </w:pPr>
      <w:r w:rsidRPr="00752569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</w:t>
      </w:r>
      <w:r w:rsidR="000D267F">
        <w:rPr>
          <w:rFonts w:ascii="Arial" w:hAnsi="Arial" w:cs="Arial"/>
          <w:b/>
          <w:bCs/>
        </w:rPr>
        <w:t>6</w:t>
      </w:r>
      <w:r w:rsidRPr="00752569">
        <w:rPr>
          <w:rFonts w:ascii="Arial" w:hAnsi="Arial" w:cs="Arial"/>
          <w:b/>
          <w:bCs/>
        </w:rPr>
        <w:t xml:space="preserve">. </w:t>
      </w:r>
      <w:r w:rsidRPr="00752569">
        <w:rPr>
          <w:rFonts w:ascii="Arial" w:hAnsi="Arial" w:cs="Arial"/>
        </w:rPr>
        <w:t>Characterization of the MDM</w:t>
      </w:r>
      <w:r>
        <w:rPr>
          <w:rFonts w:ascii="Arial" w:hAnsi="Arial" w:cs="Arial"/>
        </w:rPr>
        <w:t>s generated from PERK-A/A and PERK-B/B bone marrow</w:t>
      </w:r>
      <w:r w:rsidRPr="00752569">
        <w:rPr>
          <w:rFonts w:ascii="Arial" w:hAnsi="Arial" w:cs="Arial"/>
        </w:rPr>
        <w:t xml:space="preserve">. </w:t>
      </w:r>
      <w:proofErr w:type="gramStart"/>
      <w:r w:rsidRPr="00752569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 xml:space="preserve"> </w:t>
      </w:r>
      <w:r w:rsidRPr="007168C9">
        <w:rPr>
          <w:rFonts w:ascii="Arial" w:hAnsi="Arial" w:cs="Arial"/>
        </w:rPr>
        <w:t>and</w:t>
      </w:r>
      <w:proofErr w:type="gramEnd"/>
      <w:r>
        <w:rPr>
          <w:rFonts w:ascii="Arial" w:hAnsi="Arial" w:cs="Arial"/>
        </w:rPr>
        <w:t xml:space="preserve"> </w:t>
      </w:r>
      <w:r w:rsidRPr="00752569">
        <w:rPr>
          <w:rFonts w:ascii="Arial" w:hAnsi="Arial" w:cs="Arial"/>
          <w:b/>
          <w:bCs/>
        </w:rPr>
        <w:t>B</w:t>
      </w:r>
      <w:r w:rsidRPr="007168C9">
        <w:rPr>
          <w:rFonts w:ascii="Arial" w:hAnsi="Arial" w:cs="Arial"/>
        </w:rPr>
        <w:t>.</w:t>
      </w:r>
      <w:r w:rsidRPr="00605B36">
        <w:rPr>
          <w:rFonts w:ascii="Arial" w:hAnsi="Arial" w:cs="Arial"/>
        </w:rPr>
        <w:t xml:space="preserve"> M</w:t>
      </w:r>
      <w:r w:rsidRPr="00752569">
        <w:rPr>
          <w:rFonts w:ascii="Arial" w:hAnsi="Arial" w:cs="Arial"/>
        </w:rPr>
        <w:t>onocytes</w:t>
      </w:r>
      <w:r>
        <w:rPr>
          <w:rFonts w:ascii="Arial" w:hAnsi="Arial" w:cs="Arial"/>
        </w:rPr>
        <w:t xml:space="preserve"> isolated from the femur were</w:t>
      </w:r>
      <w:r w:rsidRPr="00752569">
        <w:rPr>
          <w:rFonts w:ascii="Arial" w:hAnsi="Arial" w:cs="Arial"/>
        </w:rPr>
        <w:t xml:space="preserve"> differentiated into macrophages using M-CSF</w:t>
      </w:r>
      <w:r>
        <w:rPr>
          <w:rFonts w:ascii="Arial" w:hAnsi="Arial" w:cs="Arial"/>
        </w:rPr>
        <w:t>,</w:t>
      </w:r>
      <w:r w:rsidRPr="007525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immuno</w:t>
      </w:r>
      <w:r w:rsidRPr="00752569">
        <w:rPr>
          <w:rFonts w:ascii="Arial" w:hAnsi="Arial" w:cs="Arial"/>
        </w:rPr>
        <w:t xml:space="preserve">stained for </w:t>
      </w:r>
      <w:r>
        <w:rPr>
          <w:rFonts w:ascii="Arial" w:hAnsi="Arial" w:cs="Arial"/>
        </w:rPr>
        <w:t xml:space="preserve">the </w:t>
      </w:r>
      <w:r w:rsidRPr="00752569">
        <w:rPr>
          <w:rFonts w:ascii="Arial" w:hAnsi="Arial" w:cs="Arial"/>
        </w:rPr>
        <w:t>myeloid markers F4/80 and CD11b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lastRenderedPageBreak/>
        <w:t>and analyzed by</w:t>
      </w:r>
      <w:r w:rsidRPr="00752569">
        <w:rPr>
          <w:rFonts w:ascii="Arial" w:hAnsi="Arial" w:cs="Arial"/>
        </w:rPr>
        <w:t xml:space="preserve"> flow cytometry. Representative </w:t>
      </w:r>
      <w:r>
        <w:rPr>
          <w:rFonts w:ascii="Arial" w:hAnsi="Arial" w:cs="Arial"/>
        </w:rPr>
        <w:t xml:space="preserve">flow cytometry </w:t>
      </w:r>
      <w:r w:rsidRPr="00752569">
        <w:rPr>
          <w:rFonts w:ascii="Arial" w:hAnsi="Arial" w:cs="Arial"/>
        </w:rPr>
        <w:t xml:space="preserve">results are shown </w:t>
      </w:r>
      <w:r>
        <w:rPr>
          <w:rFonts w:ascii="Arial" w:hAnsi="Arial" w:cs="Arial"/>
        </w:rPr>
        <w:t xml:space="preserve">in </w:t>
      </w:r>
      <w:r w:rsidRPr="00752569">
        <w:rPr>
          <w:rFonts w:ascii="Arial" w:hAnsi="Arial" w:cs="Arial"/>
        </w:rPr>
        <w:t>(</w:t>
      </w:r>
      <w:r w:rsidRPr="00752569">
        <w:rPr>
          <w:rFonts w:ascii="Arial" w:hAnsi="Arial" w:cs="Arial"/>
          <w:b/>
          <w:bCs/>
        </w:rPr>
        <w:t>A</w:t>
      </w:r>
      <w:r w:rsidRPr="00752569">
        <w:rPr>
          <w:rFonts w:ascii="Arial" w:hAnsi="Arial" w:cs="Arial"/>
        </w:rPr>
        <w:t>) and quantified in (</w:t>
      </w:r>
      <w:r w:rsidRPr="00752569">
        <w:rPr>
          <w:rFonts w:ascii="Arial" w:hAnsi="Arial" w:cs="Arial"/>
          <w:b/>
          <w:bCs/>
        </w:rPr>
        <w:t>B</w:t>
      </w:r>
      <w:r w:rsidRPr="00752569">
        <w:rPr>
          <w:rFonts w:ascii="Arial" w:hAnsi="Arial" w:cs="Arial"/>
        </w:rPr>
        <w:t xml:space="preserve">). </w:t>
      </w:r>
      <w:r w:rsidRPr="00752569">
        <w:rPr>
          <w:rFonts w:ascii="Arial" w:hAnsi="Arial" w:cs="Arial"/>
          <w:b/>
          <w:bCs/>
        </w:rPr>
        <w:t>C</w:t>
      </w:r>
      <w:r>
        <w:rPr>
          <w:rFonts w:ascii="Arial" w:hAnsi="Arial" w:cs="Arial"/>
          <w:b/>
          <w:bCs/>
        </w:rPr>
        <w:t>.</w:t>
      </w:r>
      <w:r w:rsidRPr="00605B36">
        <w:rPr>
          <w:rFonts w:ascii="Arial" w:hAnsi="Arial" w:cs="Arial"/>
        </w:rPr>
        <w:t xml:space="preserve"> PERK-A/A</w:t>
      </w:r>
      <w:r>
        <w:rPr>
          <w:rFonts w:ascii="Arial" w:hAnsi="Arial" w:cs="Arial"/>
          <w:b/>
          <w:bCs/>
        </w:rPr>
        <w:t xml:space="preserve"> </w:t>
      </w:r>
      <w:r w:rsidRPr="00752569">
        <w:rPr>
          <w:rFonts w:ascii="Arial" w:hAnsi="Arial" w:cs="Arial"/>
        </w:rPr>
        <w:t>MDMs incubated with opsonin-coated Cy3-linked zymosan beads for 0</w:t>
      </w:r>
      <w:r>
        <w:rPr>
          <w:rFonts w:ascii="Arial" w:hAnsi="Arial" w:cs="Arial"/>
        </w:rPr>
        <w:t>–</w:t>
      </w:r>
      <w:r w:rsidRPr="00752569">
        <w:rPr>
          <w:rFonts w:ascii="Arial" w:hAnsi="Arial" w:cs="Arial"/>
        </w:rPr>
        <w:t>120</w:t>
      </w:r>
      <w:r>
        <w:rPr>
          <w:rFonts w:ascii="Arial" w:hAnsi="Arial" w:cs="Arial"/>
        </w:rPr>
        <w:t xml:space="preserve"> </w:t>
      </w:r>
      <w:r w:rsidRPr="00752569">
        <w:rPr>
          <w:rFonts w:ascii="Arial" w:hAnsi="Arial" w:cs="Arial"/>
        </w:rPr>
        <w:t xml:space="preserve">min were fixed, </w:t>
      </w:r>
      <w:r>
        <w:rPr>
          <w:rFonts w:ascii="Arial" w:hAnsi="Arial" w:cs="Arial"/>
        </w:rPr>
        <w:t>immuno</w:t>
      </w:r>
      <w:r w:rsidRPr="00752569">
        <w:rPr>
          <w:rFonts w:ascii="Arial" w:hAnsi="Arial" w:cs="Arial"/>
        </w:rPr>
        <w:t>stained with phalloidin-FITC and DAPI, and</w:t>
      </w:r>
      <w:r>
        <w:rPr>
          <w:rFonts w:ascii="Arial" w:hAnsi="Arial" w:cs="Arial"/>
        </w:rPr>
        <w:t xml:space="preserve"> the percentage of </w:t>
      </w:r>
      <w:r w:rsidRPr="00752569">
        <w:rPr>
          <w:rFonts w:ascii="Arial" w:hAnsi="Arial" w:cs="Arial"/>
        </w:rPr>
        <w:t>Cy3</w:t>
      </w:r>
      <w:r w:rsidRPr="00ED1002">
        <w:rPr>
          <w:rFonts w:ascii="Arial" w:hAnsi="Arial" w:cs="Arial"/>
          <w:vertAlign w:val="superscript"/>
        </w:rPr>
        <w:t>+</w:t>
      </w:r>
      <w:r>
        <w:rPr>
          <w:rFonts w:ascii="Arial" w:hAnsi="Arial" w:cs="Arial"/>
        </w:rPr>
        <w:t>/</w:t>
      </w:r>
      <w:r w:rsidRPr="00752569">
        <w:rPr>
          <w:rFonts w:ascii="Arial" w:hAnsi="Arial" w:cs="Arial"/>
        </w:rPr>
        <w:t>FITC</w:t>
      </w:r>
      <w:r w:rsidRPr="00ED1002">
        <w:rPr>
          <w:rFonts w:ascii="Arial" w:hAnsi="Arial" w:cs="Arial"/>
          <w:vertAlign w:val="superscript"/>
        </w:rPr>
        <w:t>+</w:t>
      </w:r>
      <w:r>
        <w:rPr>
          <w:rFonts w:ascii="Arial" w:hAnsi="Arial" w:cs="Arial"/>
        </w:rPr>
        <w:t>/</w:t>
      </w:r>
      <w:r w:rsidRPr="00752569">
        <w:rPr>
          <w:rFonts w:ascii="Arial" w:hAnsi="Arial" w:cs="Arial"/>
        </w:rPr>
        <w:t>DAPI</w:t>
      </w:r>
      <w:r w:rsidRPr="00ED1002">
        <w:rPr>
          <w:rFonts w:ascii="Arial" w:hAnsi="Arial" w:cs="Arial"/>
          <w:vertAlign w:val="superscript"/>
        </w:rPr>
        <w:t>+</w:t>
      </w:r>
      <w:r w:rsidRPr="00752569">
        <w:rPr>
          <w:rFonts w:ascii="Arial" w:hAnsi="Arial" w:cs="Arial"/>
        </w:rPr>
        <w:t xml:space="preserve"> cells</w:t>
      </w:r>
      <w:r>
        <w:rPr>
          <w:rFonts w:ascii="Arial" w:hAnsi="Arial" w:cs="Arial"/>
        </w:rPr>
        <w:t xml:space="preserve"> were quantified to determine </w:t>
      </w:r>
      <w:r w:rsidRPr="00752569">
        <w:rPr>
          <w:rFonts w:ascii="Arial" w:hAnsi="Arial" w:cs="Arial"/>
        </w:rPr>
        <w:t>phagocytosis efficiency</w:t>
      </w:r>
      <w:r>
        <w:rPr>
          <w:rFonts w:ascii="Arial" w:hAnsi="Arial" w:cs="Arial"/>
        </w:rPr>
        <w:t xml:space="preserve"> (n = 3)</w:t>
      </w:r>
      <w:r w:rsidRPr="00752569">
        <w:rPr>
          <w:rFonts w:ascii="Arial" w:hAnsi="Arial" w:cs="Arial"/>
        </w:rPr>
        <w:t>.</w:t>
      </w:r>
    </w:p>
    <w:p w14:paraId="55180CB9" w14:textId="77777777" w:rsidR="00990973" w:rsidRPr="00752569" w:rsidRDefault="00990973" w:rsidP="00990973">
      <w:pPr>
        <w:spacing w:line="480" w:lineRule="auto"/>
        <w:rPr>
          <w:rFonts w:ascii="Arial" w:hAnsi="Arial" w:cs="Arial"/>
        </w:rPr>
      </w:pPr>
    </w:p>
    <w:p w14:paraId="0036CE41" w14:textId="68D9D677" w:rsidR="000D267F" w:rsidRDefault="000D267F" w:rsidP="000D267F">
      <w:pPr>
        <w:spacing w:line="480" w:lineRule="auto"/>
        <w:rPr>
          <w:rFonts w:ascii="Arial" w:hAnsi="Arial" w:cs="Arial"/>
          <w:color w:val="FF0000"/>
        </w:rPr>
      </w:pPr>
      <w:r w:rsidRPr="00BD2144">
        <w:rPr>
          <w:rFonts w:ascii="Arial" w:hAnsi="Arial" w:cs="Arial"/>
          <w:b/>
          <w:bCs/>
          <w:color w:val="FF0000"/>
        </w:rPr>
        <w:t>Figure S</w:t>
      </w:r>
      <w:r>
        <w:rPr>
          <w:rFonts w:ascii="Arial" w:hAnsi="Arial" w:cs="Arial"/>
          <w:b/>
          <w:bCs/>
          <w:color w:val="FF0000"/>
        </w:rPr>
        <w:t>7</w:t>
      </w:r>
      <w:r w:rsidRPr="00BD2144">
        <w:rPr>
          <w:rFonts w:ascii="Arial" w:hAnsi="Arial" w:cs="Arial"/>
          <w:b/>
          <w:bCs/>
          <w:color w:val="FF0000"/>
        </w:rPr>
        <w:t xml:space="preserve">. </w:t>
      </w:r>
      <w:r w:rsidRPr="000D267F">
        <w:rPr>
          <w:rFonts w:ascii="Arial" w:hAnsi="Arial" w:cs="Arial"/>
          <w:color w:val="FF0000"/>
        </w:rPr>
        <w:t>Full b</w:t>
      </w:r>
      <w:r w:rsidRPr="00BD2144">
        <w:rPr>
          <w:rFonts w:ascii="Arial" w:hAnsi="Arial" w:cs="Arial"/>
          <w:color w:val="FF0000"/>
        </w:rPr>
        <w:t xml:space="preserve">lots shown in Figure </w:t>
      </w:r>
      <w:r>
        <w:rPr>
          <w:rFonts w:ascii="Arial" w:hAnsi="Arial" w:cs="Arial"/>
          <w:color w:val="FF0000"/>
        </w:rPr>
        <w:t>6.</w:t>
      </w:r>
    </w:p>
    <w:p w14:paraId="7EF3C3DB" w14:textId="77777777" w:rsidR="000D267F" w:rsidRDefault="000D267F" w:rsidP="000D267F">
      <w:pPr>
        <w:spacing w:line="480" w:lineRule="auto"/>
        <w:rPr>
          <w:rFonts w:ascii="Arial" w:hAnsi="Arial" w:cs="Arial"/>
          <w:color w:val="FF0000"/>
        </w:rPr>
      </w:pPr>
    </w:p>
    <w:p w14:paraId="16ACECCD" w14:textId="56B1DB4C" w:rsidR="00990973" w:rsidRPr="00752569" w:rsidRDefault="00990973" w:rsidP="00990973">
      <w:pPr>
        <w:spacing w:line="480" w:lineRule="auto"/>
        <w:rPr>
          <w:rFonts w:ascii="Arial" w:hAnsi="Arial" w:cs="Arial"/>
        </w:rPr>
      </w:pPr>
      <w:r w:rsidRPr="00752569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</w:t>
      </w:r>
      <w:r w:rsidR="000D267F">
        <w:rPr>
          <w:rFonts w:ascii="Arial" w:hAnsi="Arial" w:cs="Arial"/>
          <w:b/>
          <w:bCs/>
        </w:rPr>
        <w:t>8</w:t>
      </w:r>
      <w:r w:rsidRPr="00752569">
        <w:rPr>
          <w:rFonts w:ascii="Arial" w:hAnsi="Arial" w:cs="Arial"/>
          <w:b/>
          <w:bCs/>
        </w:rPr>
        <w:t>.</w:t>
      </w:r>
      <w:r w:rsidRPr="00752569">
        <w:rPr>
          <w:rFonts w:ascii="Arial" w:hAnsi="Arial" w:cs="Arial"/>
        </w:rPr>
        <w:t xml:space="preserve"> In vivo treatment with tunicamycin do</w:t>
      </w:r>
      <w:r>
        <w:rPr>
          <w:rFonts w:ascii="Arial" w:hAnsi="Arial" w:cs="Arial"/>
        </w:rPr>
        <w:t>es</w:t>
      </w:r>
      <w:r w:rsidRPr="00752569">
        <w:rPr>
          <w:rFonts w:ascii="Arial" w:hAnsi="Arial" w:cs="Arial"/>
        </w:rPr>
        <w:t xml:space="preserve"> not illicit UPR in the CNS</w:t>
      </w:r>
      <w:r>
        <w:rPr>
          <w:rFonts w:ascii="Arial" w:hAnsi="Arial" w:cs="Arial"/>
        </w:rPr>
        <w:t>.</w:t>
      </w:r>
      <w:r w:rsidRPr="00752569">
        <w:rPr>
          <w:rFonts w:ascii="Arial" w:hAnsi="Arial" w:cs="Arial"/>
        </w:rPr>
        <w:t xml:space="preserve"> </w:t>
      </w:r>
      <w:r w:rsidRPr="00752569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>.</w:t>
      </w:r>
      <w:r w:rsidRPr="007525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Liver and brain t</w:t>
      </w:r>
      <w:r w:rsidRPr="00752569">
        <w:rPr>
          <w:rFonts w:ascii="Arial" w:hAnsi="Arial" w:cs="Arial"/>
        </w:rPr>
        <w:t xml:space="preserve">issue homogenates </w:t>
      </w:r>
      <w:r>
        <w:rPr>
          <w:rFonts w:ascii="Arial" w:hAnsi="Arial" w:cs="Arial"/>
        </w:rPr>
        <w:t xml:space="preserve">were prepared from </w:t>
      </w:r>
      <w:r w:rsidRPr="00752569">
        <w:rPr>
          <w:rFonts w:ascii="Arial" w:hAnsi="Arial" w:cs="Arial"/>
        </w:rPr>
        <w:t>mice</w:t>
      </w:r>
      <w:r>
        <w:rPr>
          <w:rFonts w:ascii="Arial" w:hAnsi="Arial" w:cs="Arial"/>
        </w:rPr>
        <w:t xml:space="preserve"> (n = </w:t>
      </w:r>
      <w:r w:rsidRPr="00752569">
        <w:rPr>
          <w:rFonts w:ascii="Arial" w:hAnsi="Arial" w:cs="Arial"/>
        </w:rPr>
        <w:t>2</w:t>
      </w:r>
      <w:r>
        <w:rPr>
          <w:rFonts w:ascii="Arial" w:hAnsi="Arial" w:cs="Arial"/>
        </w:rPr>
        <w:t>–</w:t>
      </w:r>
      <w:r w:rsidRPr="00752569">
        <w:rPr>
          <w:rFonts w:ascii="Arial" w:hAnsi="Arial" w:cs="Arial"/>
        </w:rPr>
        <w:t>3</w:t>
      </w:r>
      <w:r>
        <w:rPr>
          <w:rFonts w:ascii="Arial" w:hAnsi="Arial" w:cs="Arial"/>
        </w:rPr>
        <w:t>/timepoint)</w:t>
      </w:r>
      <w:r w:rsidRPr="007525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administered</w:t>
      </w:r>
      <w:r w:rsidRPr="00752569">
        <w:rPr>
          <w:rFonts w:ascii="Arial" w:hAnsi="Arial" w:cs="Arial"/>
        </w:rPr>
        <w:t xml:space="preserve"> intraperitoneal tunicamycin (6</w:t>
      </w:r>
      <w:r>
        <w:rPr>
          <w:rFonts w:ascii="Arial" w:hAnsi="Arial" w:cs="Arial"/>
        </w:rPr>
        <w:t xml:space="preserve"> </w:t>
      </w:r>
      <w:r w:rsidRPr="00752569">
        <w:rPr>
          <w:rFonts w:ascii="Arial" w:hAnsi="Arial" w:cs="Arial"/>
        </w:rPr>
        <w:t>mg/kg body</w:t>
      </w:r>
      <w:r>
        <w:rPr>
          <w:rFonts w:ascii="Arial" w:hAnsi="Arial" w:cs="Arial"/>
        </w:rPr>
        <w:t xml:space="preserve"> </w:t>
      </w:r>
      <w:r w:rsidRPr="00752569">
        <w:rPr>
          <w:rFonts w:ascii="Arial" w:hAnsi="Arial" w:cs="Arial"/>
        </w:rPr>
        <w:t>weight) for 0</w:t>
      </w:r>
      <w:r>
        <w:rPr>
          <w:rFonts w:ascii="Arial" w:hAnsi="Arial" w:cs="Arial"/>
        </w:rPr>
        <w:t>–</w:t>
      </w:r>
      <w:r w:rsidRPr="00752569">
        <w:rPr>
          <w:rFonts w:ascii="Arial" w:hAnsi="Arial" w:cs="Arial"/>
        </w:rPr>
        <w:t>48</w:t>
      </w:r>
      <w:r>
        <w:rPr>
          <w:rFonts w:ascii="Arial" w:hAnsi="Arial" w:cs="Arial"/>
        </w:rPr>
        <w:t xml:space="preserve"> </w:t>
      </w:r>
      <w:r w:rsidRPr="00752569">
        <w:rPr>
          <w:rFonts w:ascii="Arial" w:hAnsi="Arial" w:cs="Arial"/>
        </w:rPr>
        <w:t>h</w:t>
      </w:r>
      <w:r>
        <w:rPr>
          <w:rFonts w:ascii="Arial" w:hAnsi="Arial" w:cs="Arial"/>
        </w:rPr>
        <w:t xml:space="preserve">. Whole-cell lysates were analyzed by immunoblotting </w:t>
      </w:r>
      <w:r w:rsidRPr="00752569">
        <w:rPr>
          <w:rFonts w:ascii="Arial" w:hAnsi="Arial" w:cs="Arial"/>
        </w:rPr>
        <w:t>for p-eIF2</w:t>
      </w:r>
      <w:r w:rsidRPr="00752569">
        <w:rPr>
          <w:rFonts w:ascii="Symbol" w:hAnsi="Symbol" w:cs="Arial"/>
        </w:rPr>
        <w:t>a</w:t>
      </w:r>
      <w:r w:rsidRPr="00752569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total </w:t>
      </w:r>
      <w:r w:rsidRPr="00752569">
        <w:rPr>
          <w:rFonts w:ascii="Arial" w:hAnsi="Arial" w:cs="Arial"/>
        </w:rPr>
        <w:t>eIF2</w:t>
      </w:r>
      <w:r w:rsidRPr="00752569">
        <w:rPr>
          <w:rFonts w:ascii="Symbol" w:hAnsi="Symbol" w:cs="Arial"/>
        </w:rPr>
        <w:t>a</w:t>
      </w:r>
      <w:r w:rsidRPr="00752569">
        <w:rPr>
          <w:rFonts w:ascii="Arial" w:hAnsi="Arial" w:cs="Arial"/>
        </w:rPr>
        <w:t>, BIP, ATF4, and actin</w:t>
      </w:r>
      <w:r>
        <w:rPr>
          <w:rFonts w:ascii="Arial" w:hAnsi="Arial" w:cs="Arial"/>
        </w:rPr>
        <w:t xml:space="preserve"> and normalized to actin</w:t>
      </w:r>
      <w:r w:rsidRPr="00752569">
        <w:rPr>
          <w:rFonts w:ascii="Arial" w:hAnsi="Arial" w:cs="Arial"/>
        </w:rPr>
        <w:t>. Representative blot</w:t>
      </w:r>
      <w:r>
        <w:rPr>
          <w:rFonts w:ascii="Arial" w:hAnsi="Arial" w:cs="Arial"/>
        </w:rPr>
        <w:t>s</w:t>
      </w:r>
      <w:r w:rsidRPr="00752569">
        <w:rPr>
          <w:rFonts w:ascii="Arial" w:hAnsi="Arial" w:cs="Arial"/>
        </w:rPr>
        <w:t xml:space="preserve"> shown. </w:t>
      </w:r>
      <w:r w:rsidRPr="00752569">
        <w:rPr>
          <w:rFonts w:ascii="Arial" w:hAnsi="Arial" w:cs="Arial"/>
          <w:b/>
          <w:bCs/>
        </w:rPr>
        <w:t>B</w:t>
      </w:r>
      <w:r w:rsidRPr="00ED1002">
        <w:rPr>
          <w:rFonts w:ascii="Arial" w:hAnsi="Arial" w:cs="Arial"/>
          <w:b/>
          <w:bCs/>
        </w:rPr>
        <w:t>–</w:t>
      </w:r>
      <w:r w:rsidRPr="00752569">
        <w:rPr>
          <w:rFonts w:ascii="Arial" w:hAnsi="Arial" w:cs="Arial"/>
          <w:b/>
          <w:bCs/>
        </w:rPr>
        <w:t>C</w:t>
      </w:r>
      <w:r>
        <w:rPr>
          <w:rFonts w:ascii="Arial" w:hAnsi="Arial" w:cs="Arial"/>
          <w:b/>
          <w:bCs/>
        </w:rPr>
        <w:t>.</w:t>
      </w:r>
      <w:r w:rsidRPr="007525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Quantification of the blots of</w:t>
      </w:r>
      <w:r w:rsidRPr="00752569">
        <w:rPr>
          <w:rFonts w:ascii="Arial" w:hAnsi="Arial" w:cs="Arial"/>
        </w:rPr>
        <w:t xml:space="preserve"> liver homogenates (</w:t>
      </w:r>
      <w:r w:rsidRPr="00752569">
        <w:rPr>
          <w:rFonts w:ascii="Arial" w:hAnsi="Arial" w:cs="Arial"/>
          <w:b/>
          <w:bCs/>
        </w:rPr>
        <w:t>B</w:t>
      </w:r>
      <w:r w:rsidRPr="00752569">
        <w:rPr>
          <w:rFonts w:ascii="Arial" w:hAnsi="Arial" w:cs="Arial"/>
        </w:rPr>
        <w:t>) and brain homogenates (</w:t>
      </w:r>
      <w:r w:rsidRPr="00752569">
        <w:rPr>
          <w:rFonts w:ascii="Arial" w:hAnsi="Arial" w:cs="Arial"/>
          <w:b/>
          <w:bCs/>
        </w:rPr>
        <w:t>C</w:t>
      </w:r>
      <w:r w:rsidRPr="00752569">
        <w:rPr>
          <w:rFonts w:ascii="Arial" w:hAnsi="Arial" w:cs="Arial"/>
        </w:rPr>
        <w:t xml:space="preserve">). One-way ANOVA with </w:t>
      </w:r>
      <w:r>
        <w:rPr>
          <w:rFonts w:ascii="Arial" w:hAnsi="Arial" w:cs="Arial"/>
        </w:rPr>
        <w:t xml:space="preserve">Tukey’s </w:t>
      </w:r>
      <w:r w:rsidRPr="00752569">
        <w:rPr>
          <w:rFonts w:ascii="Arial" w:hAnsi="Arial" w:cs="Arial"/>
        </w:rPr>
        <w:t>multiple comparison</w:t>
      </w:r>
      <w:r>
        <w:rPr>
          <w:rFonts w:ascii="Arial" w:hAnsi="Arial" w:cs="Arial"/>
        </w:rPr>
        <w:t xml:space="preserve"> test</w:t>
      </w:r>
      <w:r w:rsidRPr="00752569">
        <w:rPr>
          <w:rFonts w:ascii="Arial" w:hAnsi="Arial" w:cs="Arial"/>
        </w:rPr>
        <w:t>, *p&lt;0.05</w:t>
      </w:r>
    </w:p>
    <w:p w14:paraId="030534EA" w14:textId="77777777" w:rsidR="00990973" w:rsidRPr="00752569" w:rsidRDefault="00990973" w:rsidP="00990973">
      <w:pPr>
        <w:spacing w:line="480" w:lineRule="auto"/>
        <w:rPr>
          <w:rFonts w:ascii="Arial" w:hAnsi="Arial" w:cs="Arial"/>
        </w:rPr>
      </w:pPr>
    </w:p>
    <w:p w14:paraId="61A352FA" w14:textId="4E4ED1A0" w:rsidR="00FA2274" w:rsidRPr="00BD2144" w:rsidRDefault="00FA2274" w:rsidP="00990973">
      <w:pPr>
        <w:spacing w:line="480" w:lineRule="auto"/>
        <w:rPr>
          <w:rFonts w:ascii="Arial" w:hAnsi="Arial" w:cs="Arial"/>
          <w:color w:val="FF0000"/>
        </w:rPr>
      </w:pPr>
      <w:r w:rsidRPr="00BD2144">
        <w:rPr>
          <w:rFonts w:ascii="Arial" w:hAnsi="Arial" w:cs="Arial"/>
          <w:b/>
          <w:bCs/>
          <w:color w:val="FF0000"/>
        </w:rPr>
        <w:t>Figure S</w:t>
      </w:r>
      <w:r w:rsidR="000D267F">
        <w:rPr>
          <w:rFonts w:ascii="Arial" w:hAnsi="Arial" w:cs="Arial"/>
          <w:b/>
          <w:bCs/>
          <w:color w:val="FF0000"/>
        </w:rPr>
        <w:t>9</w:t>
      </w:r>
      <w:r w:rsidRPr="00BD2144">
        <w:rPr>
          <w:rFonts w:ascii="Arial" w:hAnsi="Arial" w:cs="Arial"/>
          <w:b/>
          <w:bCs/>
          <w:color w:val="FF0000"/>
        </w:rPr>
        <w:t xml:space="preserve">. </w:t>
      </w:r>
      <w:r w:rsidR="000D267F">
        <w:rPr>
          <w:rFonts w:ascii="Arial" w:hAnsi="Arial" w:cs="Arial"/>
          <w:color w:val="FF0000"/>
        </w:rPr>
        <w:t>Full</w:t>
      </w:r>
      <w:r w:rsidRPr="00BD2144">
        <w:rPr>
          <w:rFonts w:ascii="Arial" w:hAnsi="Arial" w:cs="Arial"/>
          <w:color w:val="FF0000"/>
        </w:rPr>
        <w:t xml:space="preserve"> blots shown in Figure 7 in original order (PERK-B/B followed by PERK-A/A). For ease of viewing data, the order of PERK-A/A and PERK-B/B groups was switched in Figure 7.</w:t>
      </w:r>
    </w:p>
    <w:p w14:paraId="0E61281E" w14:textId="77777777" w:rsidR="00FA2274" w:rsidRDefault="00FA2274" w:rsidP="00990973">
      <w:pPr>
        <w:spacing w:line="480" w:lineRule="auto"/>
        <w:rPr>
          <w:rFonts w:ascii="Arial" w:hAnsi="Arial" w:cs="Arial"/>
          <w:b/>
          <w:bCs/>
        </w:rPr>
      </w:pPr>
    </w:p>
    <w:p w14:paraId="79CBB093" w14:textId="76AE330C" w:rsidR="00990973" w:rsidRDefault="00990973" w:rsidP="00990973">
      <w:pPr>
        <w:spacing w:line="480" w:lineRule="auto"/>
        <w:rPr>
          <w:rFonts w:ascii="Arial" w:hAnsi="Arial" w:cs="Arial"/>
        </w:rPr>
      </w:pPr>
      <w:r w:rsidRPr="00BD2144">
        <w:rPr>
          <w:rFonts w:ascii="Arial" w:hAnsi="Arial" w:cs="Arial"/>
          <w:b/>
          <w:bCs/>
          <w:color w:val="FF0000"/>
        </w:rPr>
        <w:t>Figure S</w:t>
      </w:r>
      <w:r w:rsidR="000D267F">
        <w:rPr>
          <w:rFonts w:ascii="Arial" w:hAnsi="Arial" w:cs="Arial"/>
          <w:b/>
          <w:bCs/>
          <w:color w:val="FF0000"/>
        </w:rPr>
        <w:t>10</w:t>
      </w:r>
      <w:r w:rsidRPr="00BD2144">
        <w:rPr>
          <w:rFonts w:ascii="Arial" w:hAnsi="Arial" w:cs="Arial"/>
          <w:b/>
          <w:bCs/>
          <w:color w:val="FF0000"/>
        </w:rPr>
        <w:t>.</w:t>
      </w:r>
      <w:r w:rsidRPr="00752569">
        <w:rPr>
          <w:rFonts w:ascii="Arial" w:hAnsi="Arial" w:cs="Arial"/>
          <w:b/>
          <w:bCs/>
        </w:rPr>
        <w:t xml:space="preserve"> </w:t>
      </w:r>
      <w:r w:rsidRPr="007168C9">
        <w:rPr>
          <w:rFonts w:ascii="Arial" w:hAnsi="Arial" w:cs="Arial"/>
        </w:rPr>
        <w:t>Immunohistochemical staining for c</w:t>
      </w:r>
      <w:r w:rsidRPr="00752569">
        <w:rPr>
          <w:rFonts w:ascii="Arial" w:hAnsi="Arial" w:cs="Arial"/>
        </w:rPr>
        <w:t xml:space="preserve">leaved caspase 3 </w:t>
      </w:r>
      <w:r>
        <w:rPr>
          <w:rFonts w:ascii="Arial" w:hAnsi="Arial" w:cs="Arial"/>
        </w:rPr>
        <w:t>in the pancreas</w:t>
      </w:r>
      <w:r w:rsidRPr="0075256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(</w:t>
      </w:r>
      <w:r w:rsidRPr="00752569"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, </w:t>
      </w:r>
      <w:r w:rsidRPr="00752569"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)</w:t>
      </w:r>
      <w:r w:rsidRPr="00752569">
        <w:rPr>
          <w:rFonts w:ascii="Arial" w:hAnsi="Arial" w:cs="Arial"/>
        </w:rPr>
        <w:t xml:space="preserve"> Pancrea</w:t>
      </w:r>
      <w:r>
        <w:rPr>
          <w:rFonts w:ascii="Arial" w:hAnsi="Arial" w:cs="Arial"/>
        </w:rPr>
        <w:t>tic tissue sections prepared</w:t>
      </w:r>
      <w:r w:rsidRPr="00752569">
        <w:rPr>
          <w:rFonts w:ascii="Arial" w:hAnsi="Arial" w:cs="Arial"/>
        </w:rPr>
        <w:t xml:space="preserve"> from vehicle or tunicamycin-treated PERK-A/A </w:t>
      </w:r>
      <w:r>
        <w:rPr>
          <w:rFonts w:ascii="Arial" w:hAnsi="Arial" w:cs="Arial"/>
        </w:rPr>
        <w:t>and</w:t>
      </w:r>
      <w:r w:rsidRPr="00752569">
        <w:rPr>
          <w:rFonts w:ascii="Arial" w:hAnsi="Arial" w:cs="Arial"/>
        </w:rPr>
        <w:t xml:space="preserve"> PERK-B/B mice were immunostained for cleaved caspase 3</w:t>
      </w:r>
      <w:r>
        <w:rPr>
          <w:rFonts w:ascii="Arial" w:hAnsi="Arial" w:cs="Arial"/>
        </w:rPr>
        <w:t xml:space="preserve"> and</w:t>
      </w:r>
      <w:r w:rsidRPr="00752569">
        <w:rPr>
          <w:rFonts w:ascii="Arial" w:hAnsi="Arial" w:cs="Arial"/>
        </w:rPr>
        <w:t xml:space="preserve"> counterstained </w:t>
      </w:r>
      <w:r w:rsidRPr="00752569">
        <w:rPr>
          <w:rFonts w:ascii="Arial" w:hAnsi="Arial" w:cs="Arial"/>
        </w:rPr>
        <w:lastRenderedPageBreak/>
        <w:t xml:space="preserve">with hematoxylin. Representative images </w:t>
      </w:r>
      <w:r>
        <w:rPr>
          <w:rFonts w:ascii="Arial" w:hAnsi="Arial" w:cs="Arial"/>
        </w:rPr>
        <w:t>at</w:t>
      </w:r>
      <w:r w:rsidRPr="00752569">
        <w:rPr>
          <w:rFonts w:ascii="Arial" w:hAnsi="Arial" w:cs="Arial"/>
        </w:rPr>
        <w:t xml:space="preserve"> 40</w:t>
      </w:r>
      <w:r>
        <w:rPr>
          <w:rFonts w:ascii="Arial" w:hAnsi="Arial" w:cs="Arial"/>
        </w:rPr>
        <w:t>×</w:t>
      </w:r>
      <w:r w:rsidRPr="00752569">
        <w:rPr>
          <w:rFonts w:ascii="Arial" w:hAnsi="Arial" w:cs="Arial"/>
        </w:rPr>
        <w:t xml:space="preserve"> magnification are shown </w:t>
      </w:r>
      <w:r>
        <w:rPr>
          <w:rFonts w:ascii="Arial" w:hAnsi="Arial" w:cs="Arial"/>
        </w:rPr>
        <w:t xml:space="preserve">in </w:t>
      </w:r>
      <w:r w:rsidRPr="00752569">
        <w:rPr>
          <w:rFonts w:ascii="Arial" w:hAnsi="Arial" w:cs="Arial"/>
        </w:rPr>
        <w:t>(</w:t>
      </w:r>
      <w:r w:rsidRPr="00752569">
        <w:rPr>
          <w:rFonts w:ascii="Arial" w:hAnsi="Arial" w:cs="Arial"/>
          <w:b/>
          <w:bCs/>
        </w:rPr>
        <w:t>A</w:t>
      </w:r>
      <w:r w:rsidRPr="00752569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. The scoring results are shown in </w:t>
      </w:r>
      <w:r w:rsidRPr="00752569">
        <w:rPr>
          <w:rFonts w:ascii="Arial" w:hAnsi="Arial" w:cs="Arial"/>
        </w:rPr>
        <w:t>(</w:t>
      </w:r>
      <w:r w:rsidRPr="00752569">
        <w:rPr>
          <w:rFonts w:ascii="Arial" w:hAnsi="Arial" w:cs="Arial"/>
          <w:b/>
          <w:bCs/>
        </w:rPr>
        <w:t>B</w:t>
      </w:r>
      <w:r w:rsidRPr="00752569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14:paraId="323F3060" w14:textId="77777777" w:rsidR="00847072" w:rsidRDefault="00847072" w:rsidP="00990973">
      <w:pPr>
        <w:spacing w:line="480" w:lineRule="auto"/>
        <w:rPr>
          <w:rFonts w:ascii="Arial" w:hAnsi="Arial" w:cs="Arial"/>
        </w:rPr>
      </w:pPr>
    </w:p>
    <w:p w14:paraId="31F1B6E6" w14:textId="789399EF" w:rsidR="002A6F92" w:rsidRPr="0080697B" w:rsidRDefault="002A6F92" w:rsidP="00990973">
      <w:pPr>
        <w:spacing w:line="480" w:lineRule="auto"/>
        <w:rPr>
          <w:rFonts w:ascii="Arial" w:hAnsi="Arial" w:cs="Arial"/>
          <w:b/>
          <w:bCs/>
          <w:color w:val="FF0000"/>
        </w:rPr>
      </w:pPr>
      <w:r w:rsidRPr="0080697B">
        <w:rPr>
          <w:rFonts w:ascii="Arial" w:hAnsi="Arial" w:cs="Arial"/>
          <w:b/>
          <w:bCs/>
          <w:color w:val="FF0000"/>
        </w:rPr>
        <w:t>Figure S</w:t>
      </w:r>
      <w:r w:rsidR="000D267F">
        <w:rPr>
          <w:rFonts w:ascii="Arial" w:hAnsi="Arial" w:cs="Arial"/>
          <w:b/>
          <w:bCs/>
          <w:color w:val="FF0000"/>
        </w:rPr>
        <w:t>11</w:t>
      </w:r>
      <w:r w:rsidRPr="0080697B">
        <w:rPr>
          <w:rFonts w:ascii="Arial" w:hAnsi="Arial" w:cs="Arial"/>
          <w:b/>
          <w:bCs/>
          <w:color w:val="FF0000"/>
        </w:rPr>
        <w:t xml:space="preserve">. </w:t>
      </w:r>
      <w:r w:rsidRPr="0080697B">
        <w:rPr>
          <w:rFonts w:ascii="Arial" w:hAnsi="Arial" w:cs="Arial"/>
          <w:color w:val="FF0000"/>
        </w:rPr>
        <w:t xml:space="preserve">Quantification of </w:t>
      </w:r>
      <w:r w:rsidR="0080697B" w:rsidRPr="0080697B">
        <w:rPr>
          <w:rFonts w:ascii="Arial" w:hAnsi="Arial" w:cs="Arial"/>
          <w:color w:val="FF0000"/>
        </w:rPr>
        <w:t>the peIF2α/total eIF2α ratio with</w:t>
      </w:r>
      <w:r w:rsidRPr="0080697B">
        <w:rPr>
          <w:rFonts w:ascii="Arial" w:hAnsi="Arial" w:cs="Arial"/>
          <w:color w:val="FF0000"/>
        </w:rPr>
        <w:t xml:space="preserve"> normalization to PERK</w:t>
      </w:r>
      <w:r w:rsidR="0080697B" w:rsidRPr="0080697B">
        <w:rPr>
          <w:rFonts w:ascii="Arial" w:hAnsi="Arial" w:cs="Arial"/>
          <w:color w:val="FF0000"/>
        </w:rPr>
        <w:t xml:space="preserve"> in blots presented in (</w:t>
      </w:r>
      <w:r w:rsidR="0080697B" w:rsidRPr="0080697B">
        <w:rPr>
          <w:rFonts w:ascii="Arial" w:hAnsi="Arial" w:cs="Arial"/>
          <w:b/>
          <w:bCs/>
          <w:color w:val="FF0000"/>
        </w:rPr>
        <w:t>A</w:t>
      </w:r>
      <w:r w:rsidR="0080697B" w:rsidRPr="0080697B">
        <w:rPr>
          <w:rFonts w:ascii="Arial" w:hAnsi="Arial" w:cs="Arial"/>
          <w:color w:val="FF0000"/>
        </w:rPr>
        <w:t>) Fig 4A, (</w:t>
      </w:r>
      <w:r w:rsidR="0080697B" w:rsidRPr="0080697B">
        <w:rPr>
          <w:rFonts w:ascii="Arial" w:hAnsi="Arial" w:cs="Arial"/>
          <w:b/>
          <w:bCs/>
          <w:color w:val="FF0000"/>
        </w:rPr>
        <w:t>B</w:t>
      </w:r>
      <w:r w:rsidR="0080697B" w:rsidRPr="0080697B">
        <w:rPr>
          <w:rFonts w:ascii="Arial" w:hAnsi="Arial" w:cs="Arial"/>
          <w:color w:val="FF0000"/>
        </w:rPr>
        <w:t>) Fig 6B, and (</w:t>
      </w:r>
      <w:r w:rsidR="0080697B" w:rsidRPr="0080697B">
        <w:rPr>
          <w:rFonts w:ascii="Arial" w:hAnsi="Arial" w:cs="Arial"/>
          <w:b/>
          <w:bCs/>
          <w:color w:val="FF0000"/>
        </w:rPr>
        <w:t>C</w:t>
      </w:r>
      <w:r w:rsidR="0080697B" w:rsidRPr="0080697B">
        <w:rPr>
          <w:rFonts w:ascii="Arial" w:hAnsi="Arial" w:cs="Arial"/>
          <w:color w:val="FF0000"/>
        </w:rPr>
        <w:t>) Fig 7B</w:t>
      </w:r>
    </w:p>
    <w:p w14:paraId="136BD207" w14:textId="2E8E1D16" w:rsidR="00993BC2" w:rsidRPr="00847072" w:rsidRDefault="00993BC2" w:rsidP="00847072">
      <w:pPr>
        <w:spacing w:line="480" w:lineRule="auto"/>
        <w:rPr>
          <w:rFonts w:ascii="Arial" w:hAnsi="Arial" w:cs="Arial"/>
        </w:rPr>
      </w:pPr>
    </w:p>
    <w:sectPr w:rsidR="00993BC2" w:rsidRPr="00847072" w:rsidSect="008C1A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73"/>
    <w:rsid w:val="000D267F"/>
    <w:rsid w:val="001C4B38"/>
    <w:rsid w:val="002A6F92"/>
    <w:rsid w:val="00333C52"/>
    <w:rsid w:val="00430B15"/>
    <w:rsid w:val="00476A6B"/>
    <w:rsid w:val="006A7F83"/>
    <w:rsid w:val="0080697B"/>
    <w:rsid w:val="00847072"/>
    <w:rsid w:val="008C1A7B"/>
    <w:rsid w:val="00990973"/>
    <w:rsid w:val="00993BC2"/>
    <w:rsid w:val="00B20699"/>
    <w:rsid w:val="00BD2144"/>
    <w:rsid w:val="00D10CF6"/>
    <w:rsid w:val="00E8210C"/>
    <w:rsid w:val="00EC033D"/>
    <w:rsid w:val="00F47CE9"/>
    <w:rsid w:val="00FA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F0470"/>
  <w15:chartTrackingRefBased/>
  <w15:docId w15:val="{8D147634-A837-434C-AF1B-85A9866C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97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097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9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97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97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97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97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97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97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97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9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9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9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9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9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9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9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9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90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97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90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97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909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97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909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9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97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90973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Akay-Espinoza</dc:creator>
  <cp:keywords/>
  <dc:description/>
  <cp:lastModifiedBy>Author </cp:lastModifiedBy>
  <cp:revision>2</cp:revision>
  <dcterms:created xsi:type="dcterms:W3CDTF">2024-09-03T18:57:00Z</dcterms:created>
  <dcterms:modified xsi:type="dcterms:W3CDTF">2024-09-03T18:57:00Z</dcterms:modified>
</cp:coreProperties>
</file>