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6D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Incidence and risk of CVDs in NAFLD patients by gender</w:t>
      </w:r>
    </w:p>
    <w:tbl>
      <w:tblPr>
        <w:tblStyle w:val="14"/>
        <w:tblW w:w="6727" w:type="pct"/>
        <w:tblInd w:w="-1545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517"/>
        <w:gridCol w:w="770"/>
        <w:gridCol w:w="780"/>
        <w:gridCol w:w="1181"/>
        <w:gridCol w:w="2059"/>
        <w:gridCol w:w="2070"/>
        <w:gridCol w:w="2090"/>
      </w:tblGrid>
      <w:tr w14:paraId="5544215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restart"/>
            <w:tcBorders>
              <w:bottom w:val="single" w:color="000000" w:sz="6" w:space="0"/>
            </w:tcBorders>
            <w:vAlign w:val="center"/>
          </w:tcPr>
          <w:p w14:paraId="2E5A2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Sex</w:t>
            </w:r>
          </w:p>
        </w:tc>
        <w:tc>
          <w:tcPr>
            <w:tcW w:w="661" w:type="pct"/>
            <w:vMerge w:val="restart"/>
            <w:tcBorders>
              <w:bottom w:val="single" w:color="000000" w:sz="6" w:space="0"/>
            </w:tcBorders>
            <w:vAlign w:val="center"/>
          </w:tcPr>
          <w:p w14:paraId="5EAC9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Group</w:t>
            </w:r>
          </w:p>
        </w:tc>
        <w:tc>
          <w:tcPr>
            <w:tcW w:w="335" w:type="pct"/>
            <w:vMerge w:val="restart"/>
            <w:tcBorders>
              <w:bottom w:val="single" w:color="000000" w:sz="6" w:space="0"/>
            </w:tcBorders>
            <w:vAlign w:val="center"/>
          </w:tcPr>
          <w:p w14:paraId="68E9B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340" w:type="pct"/>
            <w:vMerge w:val="restart"/>
            <w:tcBorders>
              <w:bottom w:val="single" w:color="000000" w:sz="6" w:space="0"/>
            </w:tcBorders>
            <w:vAlign w:val="center"/>
          </w:tcPr>
          <w:p w14:paraId="47643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514" w:type="pct"/>
            <w:vMerge w:val="restart"/>
            <w:tcBorders>
              <w:bottom w:val="single" w:color="000000" w:sz="6" w:space="0"/>
            </w:tcBorders>
            <w:vAlign w:val="center"/>
          </w:tcPr>
          <w:p w14:paraId="12862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Incidence Rate(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711" w:type="pct"/>
            <w:gridSpan w:val="3"/>
            <w:tcBorders>
              <w:bottom w:val="single" w:color="000000" w:sz="6" w:space="0"/>
            </w:tcBorders>
            <w:vAlign w:val="center"/>
          </w:tcPr>
          <w:p w14:paraId="654A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95%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</w:rPr>
              <w:t>CI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3D76988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continue"/>
            <w:tcBorders>
              <w:top w:val="single" w:color="000000" w:sz="6" w:space="0"/>
              <w:bottom w:val="single" w:color="auto" w:sz="6" w:space="0"/>
            </w:tcBorders>
            <w:vAlign w:val="center"/>
          </w:tcPr>
          <w:p w14:paraId="1A45D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vMerge w:val="continue"/>
            <w:tcBorders>
              <w:top w:val="single" w:color="000000" w:sz="6" w:space="0"/>
              <w:bottom w:val="single" w:color="auto" w:sz="6" w:space="0"/>
            </w:tcBorders>
            <w:vAlign w:val="center"/>
          </w:tcPr>
          <w:p w14:paraId="4BF4D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6" w:space="0"/>
              <w:bottom w:val="single" w:color="auto" w:sz="6" w:space="0"/>
            </w:tcBorders>
            <w:vAlign w:val="center"/>
          </w:tcPr>
          <w:p w14:paraId="28A91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40" w:type="pct"/>
            <w:vMerge w:val="continue"/>
            <w:tcBorders>
              <w:top w:val="single" w:color="000000" w:sz="6" w:space="0"/>
              <w:bottom w:val="single" w:color="auto" w:sz="6" w:space="0"/>
            </w:tcBorders>
            <w:vAlign w:val="center"/>
          </w:tcPr>
          <w:p w14:paraId="3EE51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14" w:type="pct"/>
            <w:vMerge w:val="continue"/>
            <w:tcBorders>
              <w:top w:val="single" w:color="000000" w:sz="6" w:space="0"/>
              <w:bottom w:val="single" w:color="auto" w:sz="6" w:space="0"/>
            </w:tcBorders>
            <w:vAlign w:val="center"/>
          </w:tcPr>
          <w:p w14:paraId="621CE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7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3F02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902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0466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757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</w:tr>
      <w:tr w14:paraId="32E273C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restart"/>
            <w:tcBorders>
              <w:top w:val="single" w:color="auto" w:sz="6" w:space="0"/>
            </w:tcBorders>
            <w:vAlign w:val="center"/>
          </w:tcPr>
          <w:p w14:paraId="5C0D6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  <w:bookmarkStart w:id="0" w:name="OLE_LINK15"/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Male</w:t>
            </w:r>
            <w:bookmarkEnd w:id="0"/>
          </w:p>
        </w:tc>
        <w:tc>
          <w:tcPr>
            <w:tcW w:w="661" w:type="pct"/>
            <w:tcBorders>
              <w:top w:val="single" w:color="auto" w:sz="6" w:space="0"/>
            </w:tcBorders>
            <w:vAlign w:val="center"/>
          </w:tcPr>
          <w:p w14:paraId="64034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Non-NAFLD</w:t>
            </w:r>
          </w:p>
        </w:tc>
        <w:tc>
          <w:tcPr>
            <w:tcW w:w="335" w:type="pct"/>
            <w:tcBorders>
              <w:top w:val="single" w:color="auto" w:sz="6" w:space="0"/>
            </w:tcBorders>
            <w:vAlign w:val="center"/>
          </w:tcPr>
          <w:p w14:paraId="1E4BD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8922</w:t>
            </w:r>
          </w:p>
        </w:tc>
        <w:tc>
          <w:tcPr>
            <w:tcW w:w="340" w:type="pct"/>
            <w:tcBorders>
              <w:top w:val="single" w:color="auto" w:sz="6" w:space="0"/>
            </w:tcBorders>
            <w:vAlign w:val="center"/>
          </w:tcPr>
          <w:p w14:paraId="77C2D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1511</w:t>
            </w:r>
          </w:p>
        </w:tc>
        <w:tc>
          <w:tcPr>
            <w:tcW w:w="514" w:type="pct"/>
            <w:tcBorders>
              <w:top w:val="single" w:color="auto" w:sz="6" w:space="0"/>
            </w:tcBorders>
            <w:vAlign w:val="center"/>
          </w:tcPr>
          <w:p w14:paraId="00DDD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16.94%</w:t>
            </w:r>
          </w:p>
        </w:tc>
        <w:tc>
          <w:tcPr>
            <w:tcW w:w="897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380C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2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5509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03E2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2D7D9BA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56DF8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0B75E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NAFLD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684B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2419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314EE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529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85BE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21.87%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897" w:type="pct"/>
            <w:tcBorders>
              <w:tl2br w:val="nil"/>
              <w:tr2bl w:val="nil"/>
            </w:tcBorders>
            <w:vAlign w:val="center"/>
          </w:tcPr>
          <w:p w14:paraId="0C1B7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1.364(1.236,1.506)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 w14:paraId="625DB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1.418(1.283,1.567)</w:t>
            </w:r>
          </w:p>
        </w:tc>
        <w:tc>
          <w:tcPr>
            <w:tcW w:w="911" w:type="pct"/>
            <w:tcBorders>
              <w:tl2br w:val="nil"/>
              <w:tr2bl w:val="nil"/>
            </w:tcBorders>
            <w:vAlign w:val="center"/>
          </w:tcPr>
          <w:p w14:paraId="3365B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1.165(1.050,1.292)</w:t>
            </w:r>
          </w:p>
        </w:tc>
      </w:tr>
      <w:tr w14:paraId="0E08AF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6AA5C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253F2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value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D41E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0594C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B691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0.05</w:t>
            </w:r>
          </w:p>
        </w:tc>
        <w:tc>
          <w:tcPr>
            <w:tcW w:w="897" w:type="pct"/>
            <w:tcBorders>
              <w:tl2br w:val="nil"/>
              <w:tr2bl w:val="nil"/>
            </w:tcBorders>
            <w:vAlign w:val="center"/>
          </w:tcPr>
          <w:p w14:paraId="1F082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 w14:paraId="55297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911" w:type="pct"/>
            <w:tcBorders>
              <w:tl2br w:val="nil"/>
              <w:tr2bl w:val="nil"/>
            </w:tcBorders>
            <w:vAlign w:val="center"/>
          </w:tcPr>
          <w:p w14:paraId="27790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2F2DE7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restart"/>
            <w:tcBorders>
              <w:tl2br w:val="nil"/>
              <w:tr2bl w:val="nil"/>
            </w:tcBorders>
            <w:vAlign w:val="center"/>
          </w:tcPr>
          <w:p w14:paraId="26FC4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  <w:bookmarkStart w:id="1" w:name="OLE_LINK16"/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Female</w:t>
            </w:r>
            <w:bookmarkEnd w:id="1"/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24A3B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Non-NAFLD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09679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7348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5DE74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989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8B7F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13.46%</w:t>
            </w:r>
          </w:p>
        </w:tc>
        <w:tc>
          <w:tcPr>
            <w:tcW w:w="897" w:type="pct"/>
            <w:tcBorders>
              <w:tl2br w:val="nil"/>
              <w:tr2bl w:val="nil"/>
            </w:tcBorders>
            <w:vAlign w:val="center"/>
          </w:tcPr>
          <w:p w14:paraId="3F6F2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 w14:paraId="2237D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1" w:type="pct"/>
            <w:tcBorders>
              <w:tl2br w:val="nil"/>
              <w:tr2bl w:val="nil"/>
            </w:tcBorders>
            <w:vAlign w:val="center"/>
          </w:tcPr>
          <w:p w14:paraId="32A6B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131D58F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16493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708D5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NAFLD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73702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710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079A8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4ACA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27.32%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</w:rPr>
              <w:t>#*</w:t>
            </w:r>
          </w:p>
        </w:tc>
        <w:tc>
          <w:tcPr>
            <w:tcW w:w="897" w:type="pct"/>
            <w:tcBorders>
              <w:tl2br w:val="nil"/>
              <w:tr2bl w:val="nil"/>
            </w:tcBorders>
            <w:vAlign w:val="center"/>
          </w:tcPr>
          <w:p w14:paraId="67F36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2.217(1.900,2.586)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 w14:paraId="4FF0A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1.638(1.394,1.926)</w:t>
            </w:r>
          </w:p>
        </w:tc>
        <w:tc>
          <w:tcPr>
            <w:tcW w:w="911" w:type="pct"/>
            <w:tcBorders>
              <w:tl2br w:val="nil"/>
              <w:tr2bl w:val="nil"/>
            </w:tcBorders>
            <w:vAlign w:val="center"/>
          </w:tcPr>
          <w:p w14:paraId="4BB32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1.220(1.028,1.447)</w:t>
            </w:r>
          </w:p>
        </w:tc>
      </w:tr>
      <w:tr w14:paraId="1E8155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2D966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45CE4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value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4FC36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45717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1435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0.05</w:t>
            </w:r>
          </w:p>
        </w:tc>
        <w:tc>
          <w:tcPr>
            <w:tcW w:w="897" w:type="pct"/>
            <w:tcBorders>
              <w:tl2br w:val="nil"/>
              <w:tr2bl w:val="nil"/>
            </w:tcBorders>
            <w:vAlign w:val="top"/>
          </w:tcPr>
          <w:p w14:paraId="10268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top"/>
          </w:tcPr>
          <w:p w14:paraId="43DD2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911" w:type="pct"/>
            <w:tcBorders>
              <w:tl2br w:val="nil"/>
              <w:tr2bl w:val="nil"/>
            </w:tcBorders>
            <w:vAlign w:val="top"/>
          </w:tcPr>
          <w:p w14:paraId="3F29A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0.023</w:t>
            </w:r>
          </w:p>
        </w:tc>
      </w:tr>
    </w:tbl>
    <w:p w14:paraId="1892BE96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bookmarkStart w:id="2" w:name="OLE_LINK62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N: number of observed cases; n: number of incidence cases;</w:t>
      </w:r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vertAlign w:val="superscript"/>
          <w:lang w:val="en-US" w:eastAsia="zh-CN"/>
        </w:rPr>
        <w:t>#</w:t>
      </w:r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P &lt; 0.05: Comparison of the cumulative incidence of NAFLD and non-NAFLD populations; </w:t>
      </w:r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P &lt; 0.05: Comp</w:t>
      </w:r>
      <w:bookmarkStart w:id="27" w:name="_GoBack"/>
      <w:bookmarkEnd w:id="27"/>
      <w:r>
        <w:rPr>
          <w:rFonts w:hint="eastAsia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arison of cumulative incidence of NAFLD between genders.</w:t>
      </w:r>
    </w:p>
    <w:p w14:paraId="6C04B098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Model1: unadjusted</w:t>
      </w:r>
      <w:bookmarkStart w:id="3" w:name="OLE_LINK5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; Model2:</w:t>
      </w:r>
      <w:bookmarkStart w:id="4" w:name="OLE_LINK8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 adjusted</w:t>
      </w:r>
      <w:bookmarkEnd w:id="4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 age, education level, smoking, drinking, physical activity, family per capita monthly income, occupation, family history of CVDs, high-salt diet, and high-fat diet</w:t>
      </w:r>
      <w:bookmarkEnd w:id="3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; Model3:</w:t>
      </w:r>
      <w:bookmarkStart w:id="5" w:name="OLE_LINK18"/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 adjusted age, gender, education level, smoking, drinking, physical activity, family per capita monthly income, occupation, family history of CVDs, high-salt diet, high-fat diet, HDL-C, FPG, TC, TG and blood pressure</w:t>
      </w:r>
    </w:p>
    <w:p w14:paraId="5FD376D4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</w:p>
    <w:bookmarkEnd w:id="2"/>
    <w:bookmarkEnd w:id="5"/>
    <w:p w14:paraId="0472B154">
      <w:pPr>
        <w:keepNext w:val="0"/>
        <w:keepLines w:val="0"/>
        <w:pageBreakBefore w:val="0"/>
        <w:widowControl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3"/>
          <w:szCs w:val="23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pacing w:val="15"/>
          <w:sz w:val="23"/>
          <w:szCs w:val="23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pacing w:val="15"/>
          <w:sz w:val="23"/>
          <w:szCs w:val="23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color w:val="000000"/>
          <w:spacing w:val="15"/>
          <w:sz w:val="23"/>
          <w:szCs w:val="23"/>
          <w:lang w:val="en-US" w:eastAsia="zh-CN"/>
        </w:rPr>
        <w:t xml:space="preserve"> </w:t>
      </w:r>
      <w:bookmarkStart w:id="6" w:name="OLE_LINK17"/>
      <w:r>
        <w:rPr>
          <w:rFonts w:hint="default" w:ascii="Times New Roman" w:hAnsi="Times New Roman" w:eastAsia="宋体" w:cs="Times New Roman"/>
          <w:color w:val="000000"/>
          <w:spacing w:val="15"/>
          <w:sz w:val="23"/>
          <w:szCs w:val="23"/>
          <w:lang w:val="en-US" w:eastAsia="zh-CN"/>
        </w:rPr>
        <w:t>Incidence and risk of CVDs in obese patients</w:t>
      </w:r>
      <w:bookmarkEnd w:id="6"/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  <w:bookmarkStart w:id="7" w:name="OLE_LINK3"/>
    </w:p>
    <w:bookmarkEnd w:id="7"/>
    <w:tbl>
      <w:tblPr>
        <w:tblStyle w:val="14"/>
        <w:tblW w:w="584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079"/>
        <w:gridCol w:w="1015"/>
        <w:gridCol w:w="810"/>
        <w:gridCol w:w="1516"/>
        <w:gridCol w:w="2060"/>
      </w:tblGrid>
      <w:tr w14:paraId="6B811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8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nil"/>
            </w:tcBorders>
            <w:vAlign w:val="center"/>
          </w:tcPr>
          <w:p w14:paraId="0C936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8" w:name="OLE_LINK11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Group</w:t>
            </w:r>
          </w:p>
        </w:tc>
        <w:tc>
          <w:tcPr>
            <w:tcW w:w="509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ABD6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N</w:t>
            </w:r>
          </w:p>
        </w:tc>
        <w:tc>
          <w:tcPr>
            <w:tcW w:w="406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4B85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n</w:t>
            </w:r>
          </w:p>
        </w:tc>
        <w:tc>
          <w:tcPr>
            <w:tcW w:w="761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38BF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Incidence Rate(</w:t>
            </w:r>
            <w:r>
              <w:rPr>
                <w:rFonts w:hint="default" w:ascii="Times New Roman" w:hAnsi="Times New Roman" w:eastAsia="宋体" w:cs="Times New Roman"/>
              </w:rPr>
              <w:t>%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)</w:t>
            </w:r>
          </w:p>
        </w:tc>
        <w:tc>
          <w:tcPr>
            <w:tcW w:w="1034" w:type="pct"/>
            <w:tcBorders>
              <w:top w:val="single" w:color="auto" w:sz="12" w:space="0"/>
              <w:left w:val="nil"/>
              <w:bottom w:val="single" w:color="000000" w:sz="6" w:space="0"/>
              <w:right w:val="nil"/>
            </w:tcBorders>
            <w:vAlign w:val="center"/>
          </w:tcPr>
          <w:p w14:paraId="787A7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HR（95%CI）</w:t>
            </w:r>
          </w:p>
        </w:tc>
      </w:tr>
      <w:tr w14:paraId="4410F9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2" w:type="pct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228BF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9" w:name="OLE_LINK41" w:colFirst="1" w:colLast="1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</w:t>
            </w:r>
          </w:p>
        </w:tc>
        <w:tc>
          <w:tcPr>
            <w:tcW w:w="1545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AA71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0" w:name="OLE_LINK25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  <w:bookmarkEnd w:id="10"/>
          </w:p>
        </w:tc>
        <w:tc>
          <w:tcPr>
            <w:tcW w:w="509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D853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13179</w:t>
            </w:r>
          </w:p>
        </w:tc>
        <w:tc>
          <w:tcPr>
            <w:tcW w:w="406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D2F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1756</w:t>
            </w:r>
          </w:p>
        </w:tc>
        <w:tc>
          <w:tcPr>
            <w:tcW w:w="761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9F68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13.32%</w:t>
            </w:r>
          </w:p>
        </w:tc>
        <w:tc>
          <w:tcPr>
            <w:tcW w:w="1034" w:type="pc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607F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7437B4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left w:val="nil"/>
              <w:bottom w:val="nil"/>
              <w:right w:val="nil"/>
            </w:tcBorders>
            <w:vAlign w:val="top"/>
          </w:tcPr>
          <w:p w14:paraId="72178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1" w:name="OLE_LINK26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  <w:bookmarkEnd w:id="11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8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5283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1181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EA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22.35%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3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1.309(1.211,1.416)</w:t>
            </w:r>
          </w:p>
        </w:tc>
      </w:tr>
      <w:tr w14:paraId="2B5EBB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42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C607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B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E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937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5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2E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30.52%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3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1.765(1.549,2.011)</w:t>
            </w:r>
          </w:p>
        </w:tc>
      </w:tr>
      <w:bookmarkEnd w:id="9"/>
      <w:tr w14:paraId="1BC766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E03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2" w:name="OLE_LINK43" w:colFirst="1" w:colLast="1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F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14073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8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2012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C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14.30%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8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744320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22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3" w:name="OLE_LINK29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  <w:bookmarkEnd w:id="13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A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5326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6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1211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EB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22.74%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A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1.257(1.167,1.355)</w:t>
            </w:r>
          </w:p>
        </w:tc>
      </w:tr>
      <w:bookmarkEnd w:id="12"/>
      <w:tr w14:paraId="2B0A76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right w:val="nil"/>
            </w:tcBorders>
            <w:vAlign w:val="top"/>
          </w:tcPr>
          <w:p w14:paraId="23F8C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4" w:name="OLE_LINK44" w:colFirst="0" w:colLast="1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BMI+WC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1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bookmarkStart w:id="15" w:name="OLE_LINK37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  <w:bookmarkEnd w:id="15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BA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11509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1468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6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12.76%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7743BB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left w:val="nil"/>
              <w:right w:val="nil"/>
            </w:tcBorders>
            <w:vAlign w:val="center"/>
          </w:tcPr>
          <w:p w14:paraId="0820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4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1670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17.25 %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5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1.154(1.016,1.311)</w:t>
            </w:r>
          </w:p>
        </w:tc>
      </w:tr>
      <w:tr w14:paraId="0DBB1B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left w:val="nil"/>
              <w:right w:val="nil"/>
            </w:tcBorders>
            <w:vAlign w:val="center"/>
          </w:tcPr>
          <w:p w14:paraId="20A1A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4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5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2441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C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508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7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20.81%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1.311(1.182,1.455)</w:t>
            </w:r>
          </w:p>
        </w:tc>
      </w:tr>
      <w:tr w14:paraId="73E22E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left w:val="nil"/>
              <w:right w:val="nil"/>
            </w:tcBorders>
            <w:vAlign w:val="center"/>
          </w:tcPr>
          <w:p w14:paraId="7FB55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A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0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2842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673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23.68%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3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1.368(1.242,1.507)</w:t>
            </w:r>
          </w:p>
        </w:tc>
      </w:tr>
      <w:tr w14:paraId="2F4BB9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0DC3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3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1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1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29.27%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1.819(1.304,2.539)</w:t>
            </w:r>
          </w:p>
        </w:tc>
      </w:tr>
      <w:tr w14:paraId="29953A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86C1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B122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C45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814</w:t>
            </w:r>
          </w:p>
        </w:tc>
        <w:tc>
          <w:tcPr>
            <w:tcW w:w="40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77E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250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584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</w:rPr>
              <w:t>30.71%</w:t>
            </w:r>
          </w:p>
        </w:tc>
        <w:tc>
          <w:tcPr>
            <w:tcW w:w="10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023E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1.811(1.574,2.084)</w:t>
            </w:r>
          </w:p>
        </w:tc>
      </w:tr>
      <w:bookmarkEnd w:id="8"/>
      <w:bookmarkEnd w:id="14"/>
    </w:tbl>
    <w:p w14:paraId="44CABB85">
      <w:pPr>
        <w:keepNext w:val="0"/>
        <w:keepLines w:val="0"/>
        <w:pageBreakBefore w:val="0"/>
        <w:widowControl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Grouping the population only by whether they are obese or not, regardless of whether they have NAFLD or not.</w:t>
      </w:r>
    </w:p>
    <w:p w14:paraId="0198D172">
      <w:pPr>
        <w:keepNext w:val="0"/>
        <w:keepLines w:val="0"/>
        <w:pageBreakBefore w:val="0"/>
        <w:widowControl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1"/>
          <w:szCs w:val="21"/>
          <w:lang w:val="en-US" w:eastAsia="zh-CN"/>
        </w:rPr>
        <w:t>adjusted age, gender, education level, smoking, drinking, physical activity, family per capita monthly income, occupation, family history of CVDs, high-salt diet, high-fat diet, HDL-C, FPG, TC, TG and blood pressure (gender was not adjusted in subgroup analysis)</w:t>
      </w:r>
    </w:p>
    <w:p w14:paraId="2AB3F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704015">
      <w:pPr>
        <w:keepNext w:val="0"/>
        <w:keepLines w:val="0"/>
        <w:pageBreakBefore w:val="0"/>
        <w:widowControl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16" w:name="OLE_LINK22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bookmarkEnd w:id="16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Incidence and risk of CVDs in obese patients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gender grouping</w:t>
      </w: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</w:p>
    <w:tbl>
      <w:tblPr>
        <w:tblStyle w:val="14"/>
        <w:tblW w:w="6311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250"/>
        <w:gridCol w:w="3400"/>
        <w:gridCol w:w="1140"/>
        <w:gridCol w:w="820"/>
        <w:gridCol w:w="1150"/>
        <w:gridCol w:w="2057"/>
      </w:tblGrid>
      <w:tr w14:paraId="2A71D2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tcBorders>
              <w:bottom w:val="single" w:color="000000" w:sz="6" w:space="0"/>
            </w:tcBorders>
            <w:vAlign w:val="center"/>
          </w:tcPr>
          <w:p w14:paraId="52696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Sex</w:t>
            </w:r>
          </w:p>
        </w:tc>
        <w:tc>
          <w:tcPr>
            <w:tcW w:w="2161" w:type="pct"/>
            <w:gridSpan w:val="2"/>
            <w:tcBorders>
              <w:bottom w:val="single" w:color="000000" w:sz="6" w:space="0"/>
            </w:tcBorders>
            <w:vAlign w:val="center"/>
          </w:tcPr>
          <w:p w14:paraId="26B06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Group</w:t>
            </w:r>
          </w:p>
        </w:tc>
        <w:tc>
          <w:tcPr>
            <w:tcW w:w="529" w:type="pct"/>
            <w:tcBorders>
              <w:bottom w:val="single" w:color="000000" w:sz="6" w:space="0"/>
            </w:tcBorders>
            <w:vAlign w:val="center"/>
          </w:tcPr>
          <w:p w14:paraId="5226C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381" w:type="pct"/>
            <w:tcBorders>
              <w:bottom w:val="single" w:color="000000" w:sz="6" w:space="0"/>
            </w:tcBorders>
            <w:vAlign w:val="center"/>
          </w:tcPr>
          <w:p w14:paraId="396D9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534" w:type="pct"/>
            <w:tcBorders>
              <w:bottom w:val="single" w:color="000000" w:sz="6" w:space="0"/>
            </w:tcBorders>
            <w:vAlign w:val="center"/>
          </w:tcPr>
          <w:p w14:paraId="3D52A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Incidence Rate(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56" w:type="pct"/>
            <w:tcBorders>
              <w:bottom w:val="single" w:color="000000" w:sz="6" w:space="0"/>
            </w:tcBorders>
            <w:vAlign w:val="center"/>
          </w:tcPr>
          <w:p w14:paraId="0006A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</w:rPr>
              <w:t>HR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（95%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</w:rPr>
              <w:t>CI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</w:tr>
      <w:tr w14:paraId="769C40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" w:type="pct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0B9EF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7" w:name="OLE_LINK12" w:colFirst="2" w:colLast="2"/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581" w:type="pct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333A8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</w:t>
            </w:r>
          </w:p>
        </w:tc>
        <w:tc>
          <w:tcPr>
            <w:tcW w:w="1580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337FE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529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49A17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6761</w:t>
            </w:r>
          </w:p>
        </w:tc>
        <w:tc>
          <w:tcPr>
            <w:tcW w:w="381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69D23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984</w:t>
            </w:r>
          </w:p>
        </w:tc>
        <w:tc>
          <w:tcPr>
            <w:tcW w:w="534" w:type="pct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0FE46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14.55%</w:t>
            </w:r>
          </w:p>
        </w:tc>
        <w:tc>
          <w:tcPr>
            <w:tcW w:w="956" w:type="pc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424C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3F0C48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03EA6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594FA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30A0B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6172B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3878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4328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855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12043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22.05%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1F510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1.288(1.170,1.417)</w:t>
            </w:r>
          </w:p>
        </w:tc>
      </w:tr>
      <w:tr w14:paraId="4DB8BD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3E04B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02BBE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60C8E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09FEA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702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7ACA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4B133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28.63%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33C74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1.701(1.452,1.994)</w:t>
            </w:r>
          </w:p>
        </w:tc>
      </w:tr>
      <w:tr w14:paraId="020EB06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4D493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vAlign w:val="top"/>
          </w:tcPr>
          <w:p w14:paraId="600F3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8" w:name="OLE_LINK13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  <w:bookmarkEnd w:id="18"/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977F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46C32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7685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61C05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1204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6C540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15.67%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674E2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38B4C14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7905E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0A18F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0A985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6810B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3656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D0DA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836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0CBE7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22.87%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0485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1.242(1.133,1.361)</w:t>
            </w:r>
          </w:p>
        </w:tc>
      </w:tr>
      <w:tr w14:paraId="3DE58E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4562B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vAlign w:val="top"/>
          </w:tcPr>
          <w:p w14:paraId="6E61D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9" w:name="OLE_LINK14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BMI+WC</w:t>
            </w:r>
            <w:bookmarkEnd w:id="19"/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22332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25E98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5836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7CF47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814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0204E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13.95%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61E77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45F110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5589A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648E5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3E1B8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0F1A4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935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736FB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170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33A78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18.18%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57AA4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1.142(0.996,1.348)</w:t>
            </w:r>
          </w:p>
        </w:tc>
      </w:tr>
      <w:tr w14:paraId="10B17C8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1AA43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12B4F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898B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448B8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1780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F1FB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23211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20.73%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02518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1.288(1.136,1.461)</w:t>
            </w:r>
          </w:p>
        </w:tc>
      </w:tr>
      <w:tr w14:paraId="3FE5AF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28922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0E26D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7B9F9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5B877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2098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D92A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486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5D6A9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23.16%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6F51C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1.344(1.194,1.512)</w:t>
            </w:r>
          </w:p>
        </w:tc>
      </w:tr>
      <w:tr w14:paraId="6675AC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69AAC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42169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36C1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1C44B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79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E2BF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055CB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26.58%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70DA0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1.589(1.027,2.457)</w:t>
            </w:r>
          </w:p>
        </w:tc>
      </w:tr>
      <w:tr w14:paraId="7671AB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top"/>
          </w:tcPr>
          <w:p w14:paraId="3AB8D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43C28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349DE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70FA0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623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4D20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40595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28.89%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3DC07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1.764(1.490,2.088)</w:t>
            </w:r>
          </w:p>
        </w:tc>
      </w:tr>
      <w:bookmarkEnd w:id="17"/>
      <w:tr w14:paraId="32E8EE0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restart"/>
            <w:tcBorders>
              <w:tl2br w:val="nil"/>
              <w:tr2bl w:val="nil"/>
            </w:tcBorders>
            <w:vAlign w:val="top"/>
          </w:tcPr>
          <w:p w14:paraId="00082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vAlign w:val="top"/>
          </w:tcPr>
          <w:p w14:paraId="28827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</w:t>
            </w: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04D00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2128F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6418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6448D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722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5712D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11.25%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27E25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06B1E6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35ED4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10B26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10226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0" w:name="OLE_LINK19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  <w:bookmarkEnd w:id="20"/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3E113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1405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2E508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0F77F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23.20%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0A1BD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1.343(1.171,1.540)</w:t>
            </w:r>
          </w:p>
        </w:tc>
      </w:tr>
      <w:tr w14:paraId="640166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4CCF0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3E275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58F3D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1" w:name="OLE_LINK2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  <w:bookmarkEnd w:id="21"/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19167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247AD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4D4F0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36.17%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30C9E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1.892(1.497,2.391)</w:t>
            </w:r>
          </w:p>
        </w:tc>
      </w:tr>
      <w:tr w14:paraId="1BE4424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3368E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vAlign w:val="top"/>
          </w:tcPr>
          <w:p w14:paraId="4D430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7865F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4F96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6388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3F898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808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3D6DF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12.65%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1351A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1.000</w:t>
            </w:r>
          </w:p>
        </w:tc>
      </w:tr>
      <w:tr w14:paraId="4962A74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14090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top"/>
          </w:tcPr>
          <w:p w14:paraId="35165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D52F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2" w:name="OLE_LINK21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  <w:bookmarkEnd w:id="22"/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19A3D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1670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313BE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375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6A0AF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22.46%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7CE9A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1.308(1.148,1.491)</w:t>
            </w:r>
          </w:p>
        </w:tc>
      </w:tr>
      <w:tr w14:paraId="5B9FB71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749EF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vAlign w:val="top"/>
          </w:tcPr>
          <w:p w14:paraId="11E81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BMI+WC</w:t>
            </w: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11EE8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618BB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5683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7D488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654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374C4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11.51%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049DE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 w14:paraId="13A0B6D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44F9F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center"/>
          </w:tcPr>
          <w:p w14:paraId="74D5F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0127E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56265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735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0A7C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5D9DD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16.05%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7B20A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1.189(0.975,1.451)</w:t>
            </w:r>
          </w:p>
        </w:tc>
      </w:tr>
      <w:tr w14:paraId="6D27C5A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3A2B3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center"/>
          </w:tcPr>
          <w:p w14:paraId="434F0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A15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4CE3E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661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F82C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28786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21.03%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56638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1.319(1.093,1.591)</w:t>
            </w:r>
          </w:p>
        </w:tc>
      </w:tr>
      <w:tr w14:paraId="597023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6F845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center"/>
          </w:tcPr>
          <w:p w14:paraId="2C3CA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27578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7AC66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744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3A68A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41E7F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25.13%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5D28E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1.440(1.210,1.713)</w:t>
            </w:r>
          </w:p>
        </w:tc>
      </w:tr>
      <w:tr w14:paraId="6639813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69842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center"/>
          </w:tcPr>
          <w:p w14:paraId="7958A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49884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199E4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44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684EB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2CFA5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34.09%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2B9E3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2.206(1.312,3.708)</w:t>
            </w:r>
          </w:p>
        </w:tc>
      </w:tr>
      <w:tr w14:paraId="162914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65AA3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continue"/>
            <w:tcBorders>
              <w:tl2br w:val="nil"/>
              <w:tr2bl w:val="nil"/>
            </w:tcBorders>
            <w:vAlign w:val="center"/>
          </w:tcPr>
          <w:p w14:paraId="31A0F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l2br w:val="nil"/>
              <w:tr2bl w:val="nil"/>
            </w:tcBorders>
            <w:vAlign w:val="center"/>
          </w:tcPr>
          <w:p w14:paraId="23FD8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529" w:type="pct"/>
            <w:tcBorders>
              <w:tl2br w:val="nil"/>
              <w:tr2bl w:val="nil"/>
            </w:tcBorders>
            <w:vAlign w:val="center"/>
          </w:tcPr>
          <w:p w14:paraId="54F21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191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0D02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vAlign w:val="center"/>
          </w:tcPr>
          <w:p w14:paraId="27C04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36.65%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 w14:paraId="19A9F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1.913(1.479,2.475)</w:t>
            </w:r>
          </w:p>
        </w:tc>
      </w:tr>
    </w:tbl>
    <w:p w14:paraId="121FCC6D">
      <w:pPr>
        <w:keepNext w:val="0"/>
        <w:keepLines w:val="0"/>
        <w:pageBreakBefore w:val="0"/>
        <w:widowControl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23" w:name="OLE_LINK65"/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&amp;</w:t>
      </w: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宋体" w:cs="Times New Roman"/>
          <w:color w:val="000000" w:themeColor="text1"/>
          <w:spacing w:val="15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Grouping the population only by whether they are obese or not, regardless of whether they have NAFLD or not.</w:t>
      </w:r>
    </w:p>
    <w:p w14:paraId="69632FC8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adjusted age, education level, smoking, drinking, physical activity, family per capita monthly income, occupation, family history of CVDs, high-salt diet, high-fat diet, HDL-C, FPG, TC, TG and blood pressure (gender was not adjusted in subgroup analysis)</w:t>
      </w:r>
    </w:p>
    <w:p w14:paraId="7339B21E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</w:p>
    <w:bookmarkEnd w:id="23"/>
    <w:p w14:paraId="1C7892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bookmarkStart w:id="24" w:name="OLE_LINK1"/>
      <w:r>
        <w:rPr>
          <w:rFonts w:hint="default" w:ascii="Times New Roman" w:hAnsi="Times New Roman" w:eastAsia="宋体" w:cs="Times New Roman"/>
          <w:sz w:val="24"/>
          <w:szCs w:val="24"/>
        </w:rPr>
        <w:t>Risk analysis of NAFLD and CVDs under the same obesity level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(</w:t>
      </w:r>
      <w:bookmarkStart w:id="25" w:name="OLE_LINK48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Male</w:t>
      </w:r>
      <w:bookmarkEnd w:id="25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)</w:t>
      </w:r>
    </w:p>
    <w:bookmarkEnd w:id="24"/>
    <w:tbl>
      <w:tblPr>
        <w:tblStyle w:val="14"/>
        <w:tblW w:w="0" w:type="auto"/>
        <w:tblInd w:w="-1146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257"/>
        <w:gridCol w:w="1675"/>
        <w:gridCol w:w="728"/>
        <w:gridCol w:w="696"/>
        <w:gridCol w:w="956"/>
        <w:gridCol w:w="2056"/>
      </w:tblGrid>
      <w:tr w14:paraId="2AF5DD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2" w:type="dxa"/>
            <w:gridSpan w:val="3"/>
            <w:tcBorders>
              <w:bottom w:val="single" w:color="000000" w:sz="6" w:space="0"/>
            </w:tcBorders>
            <w:vAlign w:val="center"/>
          </w:tcPr>
          <w:p w14:paraId="29D1F35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Group</w:t>
            </w:r>
          </w:p>
        </w:tc>
        <w:tc>
          <w:tcPr>
            <w:tcW w:w="728" w:type="dxa"/>
            <w:tcBorders>
              <w:bottom w:val="single" w:color="000000" w:sz="6" w:space="0"/>
            </w:tcBorders>
            <w:vAlign w:val="center"/>
          </w:tcPr>
          <w:p w14:paraId="4166711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696" w:type="dxa"/>
            <w:tcBorders>
              <w:bottom w:val="single" w:color="000000" w:sz="6" w:space="0"/>
            </w:tcBorders>
            <w:vAlign w:val="center"/>
          </w:tcPr>
          <w:p w14:paraId="4B8AAD4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956" w:type="dxa"/>
            <w:tcBorders>
              <w:bottom w:val="single" w:color="000000" w:sz="6" w:space="0"/>
            </w:tcBorders>
            <w:vAlign w:val="center"/>
          </w:tcPr>
          <w:p w14:paraId="08FD6CD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056" w:type="dxa"/>
            <w:tcBorders>
              <w:bottom w:val="single" w:color="000000" w:sz="6" w:space="0"/>
            </w:tcBorders>
            <w:vAlign w:val="center"/>
          </w:tcPr>
          <w:p w14:paraId="5540485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HR(95%CI)</w:t>
            </w:r>
          </w:p>
        </w:tc>
      </w:tr>
      <w:tr w14:paraId="610DC8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300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3F0754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BMI</w:t>
            </w:r>
          </w:p>
        </w:tc>
        <w:tc>
          <w:tcPr>
            <w:tcW w:w="2257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0BFFD4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BMI</w:t>
            </w:r>
          </w:p>
        </w:tc>
        <w:tc>
          <w:tcPr>
            <w:tcW w:w="1675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6869E1D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0C2C5D2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6023</w:t>
            </w:r>
          </w:p>
        </w:tc>
        <w:tc>
          <w:tcPr>
            <w:tcW w:w="69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0C7015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95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52FA8E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14.30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205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2F9B83C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59F652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235989B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12791C1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1A1F25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03AB6A1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63866B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16F063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16.67%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690EC2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1.029(0.848,1.248)</w:t>
            </w:r>
          </w:p>
        </w:tc>
      </w:tr>
      <w:tr w14:paraId="5B098C9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4D7E962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5D7B756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E96191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2CC3E80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2596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0BFFF33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025E54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21.53%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39598A5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0BC1DF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719E1B6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19E299D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0A6FFD2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4BA877A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52B0648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7DF7DC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22.31%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1730CF0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1.097(0.948,1.269)</w:t>
            </w:r>
          </w:p>
        </w:tc>
      </w:tr>
      <w:tr w14:paraId="2440BD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62427E0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3CB7A44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FEA3C4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4FAF208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A89B8D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34CEF2E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30.03%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87FE67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415A8E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49F0D89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776D585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CEE9AA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3125956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D20490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5E0932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27.57%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38115E6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0.958(0.712,1.291)</w:t>
            </w:r>
          </w:p>
        </w:tc>
      </w:tr>
      <w:tr w14:paraId="344D1A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restart"/>
            <w:tcBorders>
              <w:tl2br w:val="nil"/>
              <w:tr2bl w:val="nil"/>
            </w:tcBorders>
            <w:vAlign w:val="top"/>
          </w:tcPr>
          <w:p w14:paraId="7BE12BC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WC</w:t>
            </w: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71F4225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WC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531DEE5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6293FAD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6569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5C360A8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8B7644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15.19%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1D2E7D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7BAC2F2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0F40EEB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2B9B32B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5B19E92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42C54AA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2353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7D56B08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9EA7DA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21.80%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BA5FF5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1.104(0.946,1.288)</w:t>
            </w:r>
          </w:p>
        </w:tc>
      </w:tr>
      <w:tr w14:paraId="16533E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0F9DC10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326448F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13F8425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5B25F77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5F4E028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55FCED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18.46%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2A1F164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1228F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top"/>
          </w:tcPr>
          <w:p w14:paraId="5F0ABAC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09CFE3C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7F137EC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5FF9A4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44BF2B8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6D67D17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24.79%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1FB2441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1.120(0.970,1.294)</w:t>
            </w:r>
          </w:p>
        </w:tc>
      </w:tr>
      <w:tr w14:paraId="717755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restart"/>
            <w:tcBorders>
              <w:tl2br w:val="nil"/>
              <w:tr2bl w:val="nil"/>
            </w:tcBorders>
            <w:vAlign w:val="top"/>
          </w:tcPr>
          <w:p w14:paraId="060992D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BMI+WC</w:t>
            </w: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4B078A4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1DA2EF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2431115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5253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1F55F5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91B7C3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13.69%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56BA038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3B79610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3DF0F5C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3656450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7246ED1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CE0BEB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36E4B24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18BF90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16.58%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10BFE28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1.121(0.901,1.394)</w:t>
            </w:r>
          </w:p>
        </w:tc>
      </w:tr>
      <w:tr w14:paraId="33D0AC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1C08F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2C58B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7CE1893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5AC4663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4FAEC2B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38E7E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18.44%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8BCE40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431FC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790A8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1F2A6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41952E4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6D09851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70ABA45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BBD6EB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16.97%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5153291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0.743(0.486,1.138)</w:t>
            </w:r>
          </w:p>
        </w:tc>
      </w:tr>
      <w:tr w14:paraId="5BAFC9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0EB1B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2C9A7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40D6F46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0AAB3AC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3CCCB80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BA0F1C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21.31%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35E6A5E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541250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71E35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76D0D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610BB52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4F7D90C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56BEEBD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9A3E9F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19.24%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4E144BA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0.893(0.700,1.140)</w:t>
            </w:r>
          </w:p>
        </w:tc>
      </w:tr>
      <w:tr w14:paraId="29F91C8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7A066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4C1F8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4E548D9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12388EE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6263ED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12D4A6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21.75%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2FA6A4E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362014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79332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2ECF5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3E3500D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55A4B80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01D4E5E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E58184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25.54%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3415866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1.244(1.031,1.500)</w:t>
            </w:r>
          </w:p>
        </w:tc>
      </w:tr>
      <w:tr w14:paraId="34AEA4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1657F41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2B497C5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3E11EA6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188D04A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22C2BDF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2C3AEE8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17.14%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1B86CDD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C5624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4A5975C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top"/>
          </w:tcPr>
          <w:p w14:paraId="02F4620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1B403CC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BD5812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BD5567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2FAAB6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34.09%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27EC0DB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1.934(0.518,7.220)</w:t>
            </w:r>
          </w:p>
        </w:tc>
      </w:tr>
      <w:tr w14:paraId="5215423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58758B2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l2br w:val="nil"/>
              <w:tr2bl w:val="nil"/>
            </w:tcBorders>
            <w:vAlign w:val="top"/>
          </w:tcPr>
          <w:p w14:paraId="2D0EB7F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2850E4B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09971F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7A3AB9A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D7395B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31.72%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1837A1E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5517C77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 w14:paraId="5016249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257" w:type="dxa"/>
            <w:vMerge w:val="continue"/>
            <w:tcBorders>
              <w:tl2br w:val="nil"/>
              <w:tr2bl w:val="nil"/>
            </w:tcBorders>
            <w:vAlign w:val="center"/>
          </w:tcPr>
          <w:p w14:paraId="041CB31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0DC7097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00B5F8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3E335D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A6BDC9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26.76%</w:t>
            </w:r>
          </w:p>
        </w:tc>
        <w:tc>
          <w:tcPr>
            <w:tcW w:w="2056" w:type="dxa"/>
            <w:tcBorders>
              <w:tl2br w:val="nil"/>
              <w:tr2bl w:val="nil"/>
            </w:tcBorders>
            <w:vAlign w:val="center"/>
          </w:tcPr>
          <w:p w14:paraId="03C1804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0.865(0.632,1.184)</w:t>
            </w:r>
          </w:p>
        </w:tc>
      </w:tr>
    </w:tbl>
    <w:p w14:paraId="44CB01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adjusted age, education level, smoking, drinking, physical activity, family per capita monthly income, occupation, family history of CVDs, high-salt diet, high-fat diet, HDL-C, FPG, TC, TG and blood pressure </w:t>
      </w:r>
    </w:p>
    <w:p w14:paraId="17A809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AE492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Risk analysis of NAFLD and CVDs under the same obesity level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(Female)</w:t>
      </w:r>
    </w:p>
    <w:tbl>
      <w:tblPr>
        <w:tblStyle w:val="14"/>
        <w:tblW w:w="10246" w:type="dxa"/>
        <w:tblInd w:w="-1314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2325"/>
        <w:gridCol w:w="1737"/>
        <w:gridCol w:w="779"/>
        <w:gridCol w:w="733"/>
        <w:gridCol w:w="956"/>
        <w:gridCol w:w="2466"/>
      </w:tblGrid>
      <w:tr w14:paraId="494B65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2" w:type="dxa"/>
            <w:gridSpan w:val="3"/>
            <w:tcBorders>
              <w:bottom w:val="single" w:color="000000" w:sz="6" w:space="0"/>
            </w:tcBorders>
            <w:vAlign w:val="center"/>
          </w:tcPr>
          <w:p w14:paraId="17313EE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Group</w:t>
            </w:r>
          </w:p>
        </w:tc>
        <w:tc>
          <w:tcPr>
            <w:tcW w:w="779" w:type="dxa"/>
            <w:tcBorders>
              <w:bottom w:val="single" w:color="000000" w:sz="6" w:space="0"/>
            </w:tcBorders>
            <w:vAlign w:val="center"/>
          </w:tcPr>
          <w:p w14:paraId="549544A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733" w:type="dxa"/>
            <w:tcBorders>
              <w:bottom w:val="single" w:color="000000" w:sz="6" w:space="0"/>
            </w:tcBorders>
            <w:vAlign w:val="center"/>
          </w:tcPr>
          <w:p w14:paraId="75A98E9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956" w:type="dxa"/>
            <w:tcBorders>
              <w:bottom w:val="single" w:color="000000" w:sz="6" w:space="0"/>
            </w:tcBorders>
            <w:vAlign w:val="center"/>
          </w:tcPr>
          <w:p w14:paraId="1C9239D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466" w:type="dxa"/>
            <w:tcBorders>
              <w:bottom w:val="single" w:color="000000" w:sz="6" w:space="0"/>
            </w:tcBorders>
            <w:vAlign w:val="center"/>
          </w:tcPr>
          <w:p w14:paraId="275D7EF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HR(95%CI)</w:t>
            </w:r>
          </w:p>
        </w:tc>
      </w:tr>
      <w:tr w14:paraId="30CA535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0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971ACF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BMI</w:t>
            </w:r>
          </w:p>
        </w:tc>
        <w:tc>
          <w:tcPr>
            <w:tcW w:w="2325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877DA4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BMI</w:t>
            </w:r>
          </w:p>
        </w:tc>
        <w:tc>
          <w:tcPr>
            <w:tcW w:w="1737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5247587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74BC4D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6123</w:t>
            </w:r>
          </w:p>
        </w:tc>
        <w:tc>
          <w:tcPr>
            <w:tcW w:w="733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790CD28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95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37B23A1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11.56%</w:t>
            </w:r>
          </w:p>
        </w:tc>
        <w:tc>
          <w:tcPr>
            <w:tcW w:w="246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0293183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5A94D16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5763EB8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1158BE0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7278F44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706D0CC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403CD75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2315B40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21.69%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2618301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1.200(0.914,1.575)</w:t>
            </w:r>
          </w:p>
        </w:tc>
      </w:tr>
      <w:tr w14:paraId="201B525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1E667F6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25884DD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2A11543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24EF12D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A51CCC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65066F5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21.99%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63EF0E2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78584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491CD71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27DAE8B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0DADECB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32387B2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D08001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49B049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27.51%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4111FF0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0.949(0.727,1.240)</w:t>
            </w:r>
          </w:p>
        </w:tc>
      </w:tr>
      <w:tr w14:paraId="18CE61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2F72E46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1B21D3B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2882085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04EE168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6E8DE2E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00ADD8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31.01%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703F02D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069558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28E38A0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4964A4D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1F0DF91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20D3F8B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4E8A231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0AF2DC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42.45%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6822301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1.263(0.745,2.141)</w:t>
            </w:r>
          </w:p>
        </w:tc>
      </w:tr>
      <w:tr w14:paraId="7987AAF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restart"/>
            <w:tcBorders>
              <w:tl2br w:val="nil"/>
              <w:tr2bl w:val="nil"/>
            </w:tcBorders>
            <w:vAlign w:val="top"/>
          </w:tcPr>
          <w:p w14:paraId="351B54C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WC</w:t>
            </w: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46AA1AA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WC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6297400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026C279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6060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4796D56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9835D3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12.10%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32F7220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602CC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10B48D2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40ED2E9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0A223BB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15EB8B2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450A572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ADD54B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19.88%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6D778E2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1.225(0.952,1.577)</w:t>
            </w:r>
          </w:p>
        </w:tc>
      </w:tr>
      <w:tr w14:paraId="5523FF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01E18BD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58DFCD8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11DB66C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769EBC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528DC35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C96B2D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22.87%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2FFDA36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4E353D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top"/>
          </w:tcPr>
          <w:p w14:paraId="3EE1BBA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28B2E51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71DE218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1DE315F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72CD80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2984796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31.15%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1D56E13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1.095(0.859,1.396)</w:t>
            </w:r>
          </w:p>
        </w:tc>
      </w:tr>
      <w:tr w14:paraId="56887E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restart"/>
            <w:tcBorders>
              <w:tl2br w:val="nil"/>
              <w:tr2bl w:val="nil"/>
            </w:tcBorders>
            <w:vAlign w:val="top"/>
          </w:tcPr>
          <w:p w14:paraId="18FC7DB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BMI+WC</w:t>
            </w: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46DC200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785309D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00A0BC9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5479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305635D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404BF0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11.15%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0540654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D9AC5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57A152A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39CAF4F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335BD0A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34D1EB7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7C742C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2FEA57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21.08%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6D2A135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1.254(0.906,1.735)</w:t>
            </w:r>
          </w:p>
        </w:tc>
      </w:tr>
      <w:tr w14:paraId="1417BB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0DAE0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249B5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2D22C31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738B37C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309BD79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3457AA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15.06%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710BE5C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1FEC31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236DC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240C9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79C52CC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21B6409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11665AA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D12046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23.08%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78D524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1.041(0.620,1.745)</w:t>
            </w:r>
          </w:p>
        </w:tc>
      </w:tr>
      <w:tr w14:paraId="6A9E1E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4A034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78F2D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4CFF726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2C5D42C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0F303F1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238F72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20.43%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274FFFA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C28FB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1C5CC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2A39F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2B34A8C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48C4A37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0452763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7D261E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24.07%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2B7EFFD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1.060(0.667,1.686)</w:t>
            </w:r>
          </w:p>
        </w:tc>
      </w:tr>
      <w:tr w14:paraId="4F33850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6DF00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37E00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51A1896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43C14FE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3B843C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1738F7E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23.57%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32AC9F7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6A3E1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6BB82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5A751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0BDC120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5AFA6B9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51ECE6F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04285F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29.35%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2207148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0.907(0.648,1.270)</w:t>
            </w:r>
          </w:p>
        </w:tc>
      </w:tr>
      <w:tr w14:paraId="4BD874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079BB79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572A4CF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68E7AA0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3FB529C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2F98A17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33A515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32.14%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3ACAAB5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6B45D8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70A687E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top"/>
          </w:tcPr>
          <w:p w14:paraId="68012F2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7E07F8D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07DEB26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5C0135E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606C7BB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37.50%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712EA7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17.346(0.496,606.152)</w:t>
            </w:r>
          </w:p>
        </w:tc>
      </w:tr>
      <w:tr w14:paraId="1CE1E00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4FBE295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l2br w:val="nil"/>
              <w:tr2bl w:val="nil"/>
            </w:tcBorders>
            <w:vAlign w:val="top"/>
          </w:tcPr>
          <w:p w14:paraId="0F051BF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194E6FF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5032615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50A1DCC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C8621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30.69%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0C094B8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0FC257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 w14:paraId="12CBAD2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2325" w:type="dxa"/>
            <w:vMerge w:val="continue"/>
            <w:tcBorders>
              <w:tl2br w:val="nil"/>
              <w:tr2bl w:val="nil"/>
            </w:tcBorders>
            <w:vAlign w:val="center"/>
          </w:tcPr>
          <w:p w14:paraId="7CC4552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vAlign w:val="top"/>
          </w:tcPr>
          <w:p w14:paraId="46ECC1E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14:paraId="42EFA8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16D5EA5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31453D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43.33%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vAlign w:val="center"/>
          </w:tcPr>
          <w:p w14:paraId="0E5A138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1.393(0.760,2.553)</w:t>
            </w:r>
          </w:p>
        </w:tc>
      </w:tr>
    </w:tbl>
    <w:p w14:paraId="21791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adjusted age, education level, smoking, drinking, physical activity, family per capita monthly income, occupation, family history of CVDs, high-salt diet, high-fat diet, HDL-C, FPG, TC, TG and blood pressure </w:t>
      </w:r>
    </w:p>
    <w:p w14:paraId="23BCF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</w:p>
    <w:p w14:paraId="470FCDB8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26" w:name="OLE_LINK2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6</w:t>
      </w:r>
      <w:bookmarkEnd w:id="26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Additive interaction between NAFLD and different obesity status on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CVDs</w:t>
      </w:r>
    </w:p>
    <w:tbl>
      <w:tblPr>
        <w:tblStyle w:val="13"/>
        <w:tblW w:w="5942" w:type="pct"/>
        <w:tblCellSpacing w:w="0" w:type="dxa"/>
        <w:tblInd w:w="-1288" w:type="dxa"/>
        <w:tblBorders>
          <w:top w:val="single" w:color="080000" w:sz="12" w:space="0"/>
          <w:left w:val="none" w:color="auto" w:sz="0" w:space="0"/>
          <w:bottom w:val="single" w:color="08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0"/>
        <w:gridCol w:w="2680"/>
        <w:gridCol w:w="2490"/>
        <w:gridCol w:w="2339"/>
      </w:tblGrid>
      <w:tr w14:paraId="22522F1B">
        <w:tblPrEx>
          <w:tblBorders>
            <w:top w:val="single" w:color="080000" w:sz="12" w:space="0"/>
            <w:left w:val="none" w:color="auto" w:sz="0" w:space="0"/>
            <w:bottom w:val="single" w:color="08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1293" w:type="pct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FC42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Group</w:t>
            </w:r>
          </w:p>
        </w:tc>
        <w:tc>
          <w:tcPr>
            <w:tcW w:w="1322" w:type="pct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637D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</w:rPr>
              <w:t>RERI（95%CI）</w:t>
            </w:r>
          </w:p>
        </w:tc>
        <w:tc>
          <w:tcPr>
            <w:tcW w:w="1229" w:type="pct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9F7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</w:rPr>
              <w:t>AP（95%CI）</w:t>
            </w:r>
          </w:p>
        </w:tc>
        <w:tc>
          <w:tcPr>
            <w:tcW w:w="1154" w:type="pct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8A7E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</w:rPr>
              <w:t>S（95%CI）</w:t>
            </w:r>
          </w:p>
        </w:tc>
      </w:tr>
      <w:tr w14:paraId="3E372E03">
        <w:tblPrEx>
          <w:tblBorders>
            <w:top w:val="single" w:color="080000" w:sz="12" w:space="0"/>
            <w:left w:val="none" w:color="auto" w:sz="0" w:space="0"/>
            <w:bottom w:val="single" w:color="08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CellSpacing w:w="0" w:type="dxa"/>
        </w:trPr>
        <w:tc>
          <w:tcPr>
            <w:tcW w:w="1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B61F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NAFLD+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132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A5F9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-0.070(-0.303,0.162)</w:t>
            </w:r>
          </w:p>
        </w:tc>
        <w:tc>
          <w:tcPr>
            <w:tcW w:w="12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7FA4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-0.053(-0.229,0.124)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6798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0.827(0.450,1.517)</w:t>
            </w:r>
          </w:p>
        </w:tc>
      </w:tr>
      <w:tr w14:paraId="455B628F">
        <w:tblPrEx>
          <w:tblBorders>
            <w:top w:val="single" w:color="080000" w:sz="12" w:space="0"/>
            <w:left w:val="none" w:color="auto" w:sz="0" w:space="0"/>
            <w:bottom w:val="single" w:color="08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81ED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NAFLD+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132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496F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-0.110(-0.554,0.333)</w:t>
            </w:r>
          </w:p>
        </w:tc>
        <w:tc>
          <w:tcPr>
            <w:tcW w:w="12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BBFE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-0.063(-0.323,0.197)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0F6F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0.871(0.504,1.506)</w:t>
            </w:r>
          </w:p>
        </w:tc>
      </w:tr>
      <w:tr w14:paraId="7EE65304">
        <w:tblPrEx>
          <w:tblBorders>
            <w:top w:val="single" w:color="080000" w:sz="12" w:space="0"/>
            <w:left w:val="none" w:color="auto" w:sz="0" w:space="0"/>
            <w:bottom w:val="single" w:color="08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1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5BF4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NAFLD+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132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ADCF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-0.051(-0.209,0.109)</w:t>
            </w:r>
          </w:p>
        </w:tc>
        <w:tc>
          <w:tcPr>
            <w:tcW w:w="12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19AC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-0.051(-0.210,0.109)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DE6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0.837(0.489,1.432)</w:t>
            </w:r>
          </w:p>
        </w:tc>
      </w:tr>
    </w:tbl>
    <w:p w14:paraId="4352C0BA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 xml:space="preserve">adjusted age,gender, education level, smoking, drinking, physical activity, family per capita monthly income, occupation, family history of CVDs, high-salt diet, high-fat diet, HDL-C, FPG, TC, TG and blood pressure </w:t>
      </w:r>
    </w:p>
    <w:p w14:paraId="60DA2D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D14B3F8">
      <w:pPr>
        <w:keepNext w:val="0"/>
        <w:keepLines w:val="0"/>
        <w:pageBreakBefore w:val="0"/>
        <w:tabs>
          <w:tab w:val="left" w:pos="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Stratified analysis of the relationship between NAFLD, different obesity indicators and CVDs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(Male)</w:t>
      </w:r>
    </w:p>
    <w:tbl>
      <w:tblPr>
        <w:tblStyle w:val="14"/>
        <w:tblW w:w="10745" w:type="dxa"/>
        <w:tblInd w:w="-1357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666"/>
        <w:gridCol w:w="3077"/>
        <w:gridCol w:w="856"/>
        <w:gridCol w:w="767"/>
        <w:gridCol w:w="1022"/>
        <w:gridCol w:w="2089"/>
      </w:tblGrid>
      <w:tr w14:paraId="74AA9E1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1" w:type="dxa"/>
            <w:gridSpan w:val="3"/>
            <w:tcBorders>
              <w:bottom w:val="single" w:color="000000" w:sz="6" w:space="0"/>
            </w:tcBorders>
          </w:tcPr>
          <w:p w14:paraId="2AE0B24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Group</w:t>
            </w:r>
          </w:p>
        </w:tc>
        <w:tc>
          <w:tcPr>
            <w:tcW w:w="856" w:type="dxa"/>
            <w:tcBorders>
              <w:bottom w:val="single" w:color="000000" w:sz="6" w:space="0"/>
            </w:tcBorders>
            <w:vAlign w:val="center"/>
          </w:tcPr>
          <w:p w14:paraId="6E305DC7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767" w:type="dxa"/>
            <w:tcBorders>
              <w:bottom w:val="single" w:color="000000" w:sz="6" w:space="0"/>
            </w:tcBorders>
            <w:vAlign w:val="center"/>
          </w:tcPr>
          <w:p w14:paraId="1C38388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1022" w:type="dxa"/>
            <w:tcBorders>
              <w:bottom w:val="single" w:color="000000" w:sz="6" w:space="0"/>
            </w:tcBorders>
            <w:vAlign w:val="center"/>
          </w:tcPr>
          <w:p w14:paraId="2EF8BC4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089" w:type="dxa"/>
            <w:tcBorders>
              <w:bottom w:val="single" w:color="000000" w:sz="6" w:space="0"/>
            </w:tcBorders>
            <w:vAlign w:val="center"/>
          </w:tcPr>
          <w:p w14:paraId="3EC8F42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HR(95%CI)</w:t>
            </w:r>
          </w:p>
        </w:tc>
      </w:tr>
      <w:tr w14:paraId="4DB53A0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6353C6A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BMI</w:t>
            </w:r>
          </w:p>
        </w:tc>
        <w:tc>
          <w:tcPr>
            <w:tcW w:w="1666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16BC3A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574D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BMI</w:t>
            </w:r>
          </w:p>
        </w:tc>
        <w:tc>
          <w:tcPr>
            <w:tcW w:w="85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4AF6936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6023</w:t>
            </w:r>
          </w:p>
        </w:tc>
        <w:tc>
          <w:tcPr>
            <w:tcW w:w="767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573E9DB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1022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7C19BA1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14.30%</w:t>
            </w:r>
          </w:p>
        </w:tc>
        <w:tc>
          <w:tcPr>
            <w:tcW w:w="2089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51BCF68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FDF4F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1CE0574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7389D89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19E86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7D44022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2596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EB7FFD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C834BC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21.53%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BEB587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1.269(1.138,1.417)</w:t>
            </w:r>
          </w:p>
        </w:tc>
      </w:tr>
      <w:tr w14:paraId="2000B8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7E253BC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1C20C96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25B92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82C9D2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8F943E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3BD21B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30.03%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496A3D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1.712(1.371,2.137)</w:t>
            </w:r>
          </w:p>
        </w:tc>
      </w:tr>
      <w:tr w14:paraId="03A258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413B75C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7277FCA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3E198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BMI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1EC3F5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B734AB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21567A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16.67%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AEDB89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1.054(0.871,1.276)</w:t>
            </w:r>
          </w:p>
        </w:tc>
      </w:tr>
      <w:tr w14:paraId="66206C7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3F19C9FC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2A620DB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633E6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2B48D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DAEAA4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5ADC1E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23.09%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3AEC9BF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1.359(1.183,1.562)</w:t>
            </w:r>
          </w:p>
        </w:tc>
      </w:tr>
      <w:tr w14:paraId="266B74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5D00816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922301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5C23E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69CFEFB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889B8A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733067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27.57%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D767A9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1.724(1.404,2.118)</w:t>
            </w:r>
          </w:p>
        </w:tc>
      </w:tr>
      <w:tr w14:paraId="08C204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restart"/>
            <w:tcBorders>
              <w:tl2br w:val="nil"/>
              <w:tr2bl w:val="nil"/>
            </w:tcBorders>
            <w:vAlign w:val="top"/>
          </w:tcPr>
          <w:p w14:paraId="3C68BC4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WC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1A065B76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75199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E5967F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6569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00CD32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BDA9DF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15.19%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668227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10A844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0DA870D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8E3EFD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56B38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5B1DCC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2353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7DFE79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2D9E11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21.80%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4B9E2A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1.224(1.097,1.365)</w:t>
            </w:r>
          </w:p>
        </w:tc>
      </w:tr>
      <w:tr w14:paraId="452DB01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749E5D8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610EF53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0DEA0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6E34A52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46127B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65AC29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18.46%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4339595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1.124(0.965,1.310)</w:t>
            </w:r>
          </w:p>
        </w:tc>
      </w:tr>
      <w:tr w14:paraId="12EB84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top"/>
          </w:tcPr>
          <w:p w14:paraId="5FC3A80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1C49BD9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739FC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D5A529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9C0027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2E6946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24.79%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1CCB22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1.356(1.188,1.548)</w:t>
            </w:r>
          </w:p>
        </w:tc>
      </w:tr>
      <w:tr w14:paraId="450F9D9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restart"/>
            <w:tcBorders>
              <w:tl2br w:val="nil"/>
              <w:tr2bl w:val="nil"/>
            </w:tcBorders>
            <w:vAlign w:val="top"/>
          </w:tcPr>
          <w:p w14:paraId="18223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BMI+WC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76DAE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0062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202AF94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5253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1C7526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D272E6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13.69%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3CA20D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03BD695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52519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C62C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198E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8C15B1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DBD1F9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0EA491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18.44%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488F858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1.220(1.018,1.461)</w:t>
            </w:r>
          </w:p>
        </w:tc>
      </w:tr>
      <w:tr w14:paraId="32805E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2026E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65258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6CF71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0198861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3115F0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FFED8B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21.31%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53CDE1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1.348(1.171,1.553)</w:t>
            </w:r>
          </w:p>
        </w:tc>
      </w:tr>
      <w:tr w14:paraId="1625EE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6B3BF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56182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3DDE1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92B4D4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A9A397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BE3B48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21.75%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EE9B56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1.277(1.109,1.470)</w:t>
            </w:r>
          </w:p>
        </w:tc>
      </w:tr>
      <w:tr w14:paraId="3EB07C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45F29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15D7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6A790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4D1F0A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596E0F1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667A4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17.14%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87DCCB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0.904(0.404,2.025)</w:t>
            </w:r>
          </w:p>
        </w:tc>
      </w:tr>
      <w:tr w14:paraId="73104A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5149F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E351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7DFE7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0A820FE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5BADF5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3D3D5B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31.72%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3F52E86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1.897(1.506,2.391)</w:t>
            </w:r>
          </w:p>
        </w:tc>
      </w:tr>
      <w:tr w14:paraId="0512A33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4D1D6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1D9A2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0B67D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4878BA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B1EAEF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0BC372F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16.58%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10227F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1.147(0.924,1.423)</w:t>
            </w:r>
          </w:p>
        </w:tc>
      </w:tr>
      <w:tr w14:paraId="1BD04A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1D130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673BC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7571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AF25AF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E73377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191A63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16.97%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C06F7D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0.928(0.634,1.358)</w:t>
            </w:r>
          </w:p>
        </w:tc>
      </w:tr>
      <w:tr w14:paraId="4CEA6F0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7BC38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31EE3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41D9E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6007C1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6BB3D2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F8E2BB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19.24%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3E0C041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1.212(0.975,1.507)</w:t>
            </w:r>
          </w:p>
        </w:tc>
      </w:tr>
      <w:tr w14:paraId="293D833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758A6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1644D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374B1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6DB5426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C0A9F0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5508FB9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25.54%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060C63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1.521(1.291,1.792)</w:t>
            </w:r>
          </w:p>
        </w:tc>
      </w:tr>
      <w:tr w14:paraId="546DDA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7803E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6A137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0B68A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853719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D59B96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98E365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34.09%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DA91E6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2.365(1.413,3.957)</w:t>
            </w:r>
          </w:p>
        </w:tc>
      </w:tr>
      <w:tr w14:paraId="25421F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Merge w:val="continue"/>
            <w:tcBorders>
              <w:tl2br w:val="nil"/>
              <w:tr2bl w:val="nil"/>
            </w:tcBorders>
            <w:vAlign w:val="center"/>
          </w:tcPr>
          <w:p w14:paraId="063A7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top"/>
          </w:tcPr>
          <w:p w14:paraId="74747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687D0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7C8B073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455019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0AF523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26.76%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3DA28E3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1.716(1.376,2.141)</w:t>
            </w:r>
          </w:p>
        </w:tc>
      </w:tr>
    </w:tbl>
    <w:p w14:paraId="05DC5F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adjusted age, education level, smoking, drinking, physical activity, family per capita monthly income, occupation, family history of CVDs, high-salt diet, high-fat diet, HDL-C, FPG, TC, TG and blood pressure</w:t>
      </w:r>
    </w:p>
    <w:p w14:paraId="540230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</w:p>
    <w:p w14:paraId="0E0A3A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Stratified analysis of the relationship between NAFLD, different obesity indicators and CVDs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(Female)</w:t>
      </w:r>
    </w:p>
    <w:tbl>
      <w:tblPr>
        <w:tblStyle w:val="14"/>
        <w:tblW w:w="10745" w:type="dxa"/>
        <w:tblInd w:w="-1357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691"/>
        <w:gridCol w:w="3077"/>
        <w:gridCol w:w="856"/>
        <w:gridCol w:w="767"/>
        <w:gridCol w:w="1022"/>
        <w:gridCol w:w="2089"/>
      </w:tblGrid>
      <w:tr w14:paraId="0FB6418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11" w:type="dxa"/>
            <w:gridSpan w:val="3"/>
            <w:tcBorders>
              <w:bottom w:val="single" w:color="000000" w:sz="6" w:space="0"/>
            </w:tcBorders>
          </w:tcPr>
          <w:p w14:paraId="6D5109CB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Group</w:t>
            </w:r>
          </w:p>
        </w:tc>
        <w:tc>
          <w:tcPr>
            <w:tcW w:w="856" w:type="dxa"/>
            <w:tcBorders>
              <w:bottom w:val="single" w:color="000000" w:sz="6" w:space="0"/>
            </w:tcBorders>
            <w:vAlign w:val="center"/>
          </w:tcPr>
          <w:p w14:paraId="4BBB1E0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767" w:type="dxa"/>
            <w:tcBorders>
              <w:bottom w:val="single" w:color="000000" w:sz="6" w:space="0"/>
            </w:tcBorders>
            <w:vAlign w:val="center"/>
          </w:tcPr>
          <w:p w14:paraId="73A4113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</w:t>
            </w:r>
          </w:p>
        </w:tc>
        <w:tc>
          <w:tcPr>
            <w:tcW w:w="1022" w:type="dxa"/>
            <w:tcBorders>
              <w:bottom w:val="single" w:color="000000" w:sz="6" w:space="0"/>
            </w:tcBorders>
            <w:vAlign w:val="center"/>
          </w:tcPr>
          <w:p w14:paraId="449E22B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2089" w:type="dxa"/>
            <w:tcBorders>
              <w:bottom w:val="single" w:color="000000" w:sz="6" w:space="0"/>
            </w:tcBorders>
            <w:vAlign w:val="center"/>
          </w:tcPr>
          <w:p w14:paraId="42A6EAC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HR(95%CI)</w:t>
            </w:r>
          </w:p>
        </w:tc>
      </w:tr>
      <w:tr w14:paraId="5DE306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restart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3EAFD9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BMI</w:t>
            </w:r>
          </w:p>
        </w:tc>
        <w:tc>
          <w:tcPr>
            <w:tcW w:w="1691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87A2A9A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382C8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BMI</w:t>
            </w:r>
          </w:p>
        </w:tc>
        <w:tc>
          <w:tcPr>
            <w:tcW w:w="856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4DDEF8F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6123</w:t>
            </w:r>
          </w:p>
        </w:tc>
        <w:tc>
          <w:tcPr>
            <w:tcW w:w="767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1D26CE6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022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201BDAB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11.56%</w:t>
            </w:r>
          </w:p>
        </w:tc>
        <w:tc>
          <w:tcPr>
            <w:tcW w:w="2089" w:type="dxa"/>
            <w:tcBorders>
              <w:top w:val="single" w:color="000000" w:sz="6" w:space="0"/>
              <w:tl2br w:val="nil"/>
              <w:tr2bl w:val="nil"/>
            </w:tcBorders>
            <w:vAlign w:val="center"/>
          </w:tcPr>
          <w:p w14:paraId="6ABB1C2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5188485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68724DE1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3B78CAD0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109D1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2A5633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2D4F08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F3322D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21.99%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DA8947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1.403(1.206,1.633)</w:t>
            </w:r>
          </w:p>
        </w:tc>
      </w:tr>
      <w:tr w14:paraId="32614B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102F5EC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033C8BE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696C7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26BC389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4AC8C2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3C9F39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31.01%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9AD88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1.908(1.382,2.636)</w:t>
            </w:r>
          </w:p>
        </w:tc>
      </w:tr>
      <w:tr w14:paraId="5B76BB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2911EFD4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012D95DE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187A5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BMI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7345B2D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ED7A0D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0BB801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21.69%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7AD5D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1.273(0.976,1.659)</w:t>
            </w:r>
          </w:p>
        </w:tc>
      </w:tr>
      <w:tr w14:paraId="1C6B268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2BDD3ADD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6348C58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14011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2C9D8D2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5B01CB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CEE6E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27.51%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CEFE0A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1.307(1.026,1.664)</w:t>
            </w:r>
          </w:p>
        </w:tc>
      </w:tr>
      <w:tr w14:paraId="004B459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7127027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78ADA81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55F10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F22591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0F67A11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51E522B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42.45%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4F69766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1.980(1.438,2.727)</w:t>
            </w:r>
          </w:p>
        </w:tc>
      </w:tr>
      <w:tr w14:paraId="2F10417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restart"/>
            <w:tcBorders>
              <w:tl2br w:val="nil"/>
              <w:tr2bl w:val="nil"/>
            </w:tcBorders>
            <w:vAlign w:val="top"/>
          </w:tcPr>
          <w:p w14:paraId="6A91989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WC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17E5DD3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20BB0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01285A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6060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1716206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699FF8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12.10%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807644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458E5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27F173A9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10D29752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2386A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13D9C3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9D033B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971F55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19.88%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E3573B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1.324(1.143,1.533)</w:t>
            </w:r>
          </w:p>
        </w:tc>
      </w:tr>
      <w:tr w14:paraId="63AC543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29ADC298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5C313BD5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45436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normal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79F3464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5D34FD6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BF7E3D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22.87%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B8E2C5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1.254(0.980,1.605)</w:t>
            </w:r>
          </w:p>
        </w:tc>
      </w:tr>
      <w:tr w14:paraId="6F9DECD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top"/>
          </w:tcPr>
          <w:p w14:paraId="40314D4F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023D88A3">
            <w:pPr>
              <w:keepNext w:val="0"/>
              <w:keepLines w:val="0"/>
              <w:pageBreakBefore w:val="0"/>
              <w:widowControl w:val="0"/>
              <w:tabs>
                <w:tab w:val="left" w:pos="6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center"/>
          </w:tcPr>
          <w:p w14:paraId="1D853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7641764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C4C0C9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AB3FB3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31.15%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12E92C4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1.405(1.132,1.744)</w:t>
            </w:r>
          </w:p>
        </w:tc>
      </w:tr>
      <w:tr w14:paraId="10A55C1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restart"/>
            <w:tcBorders>
              <w:tl2br w:val="nil"/>
              <w:tr2bl w:val="nil"/>
            </w:tcBorders>
            <w:vAlign w:val="top"/>
          </w:tcPr>
          <w:p w14:paraId="06980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BMI+WC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3E530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Non-NAFLD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2520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C128FF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5479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074B6E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2CB40B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11.15%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9AD869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77E5B0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7F68F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24DB9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48F53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5761BC2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1D9593A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D60B03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15.06%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868B0F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1.219(0.982,1.514)</w:t>
            </w:r>
          </w:p>
        </w:tc>
      </w:tr>
      <w:tr w14:paraId="55F2DF5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16260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7AC8A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6CF02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5D29CB3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2EE3C6A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75A914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20.43%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4206C88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1.377(1.122,1.691)</w:t>
            </w:r>
          </w:p>
        </w:tc>
      </w:tr>
      <w:tr w14:paraId="267F973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70F41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24E40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7D35C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1BCEA6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5009AB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C5E1F2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23.57%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6D7EFD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1.508(1.238,1.837)</w:t>
            </w:r>
          </w:p>
        </w:tc>
      </w:tr>
      <w:tr w14:paraId="04E7B5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1DAB4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28FBA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2CD1B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20A5D7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33B1F63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73F7FB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32.14%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2E15842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2.784(1.432,5.411)</w:t>
            </w:r>
          </w:p>
        </w:tc>
      </w:tr>
      <w:tr w14:paraId="0B13993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3E685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5020C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47E28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FD8D00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F8096C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0399EAA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30.69%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95C16C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1.809(1.255,2.606)</w:t>
            </w:r>
          </w:p>
        </w:tc>
      </w:tr>
      <w:tr w14:paraId="0D8DA9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1B46C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3B470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  <w:t>NAFLD</w:t>
            </w: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7C64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0E7D554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7BBB4C2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15520F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21.08%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199BE9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1.381(1.006,1.896)</w:t>
            </w:r>
          </w:p>
        </w:tc>
      </w:tr>
      <w:tr w14:paraId="1AE19E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221BF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3B280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0800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BMI+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1512949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CE9A0B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08F91BF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23.08%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AE09D8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1.196(0.767,1.865)</w:t>
            </w:r>
          </w:p>
        </w:tc>
      </w:tr>
      <w:tr w14:paraId="093395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370D7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35AF6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4D16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06C51D9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1A9FB53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5413A65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24.07%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6FD8D3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1.239(0.831,1.849)</w:t>
            </w:r>
          </w:p>
        </w:tc>
      </w:tr>
      <w:tr w14:paraId="6E8910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3CF1D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7B053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0B5B3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overweight+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26B47DB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CCABA3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3CE0F9D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29.35%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0FBE015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1.411(1.060,1.879)</w:t>
            </w:r>
          </w:p>
        </w:tc>
      </w:tr>
      <w:tr w14:paraId="0DB5A0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39D58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6002C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58DAA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obesity+normal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WC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429C653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6A76349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C9D764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37.50%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746C04C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1.758(0.778,3.973)</w:t>
            </w:r>
          </w:p>
        </w:tc>
      </w:tr>
      <w:tr w14:paraId="7FD172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Merge w:val="continue"/>
            <w:tcBorders>
              <w:tl2br w:val="nil"/>
              <w:tr2bl w:val="nil"/>
            </w:tcBorders>
            <w:vAlign w:val="center"/>
          </w:tcPr>
          <w:p w14:paraId="2E9F3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vAlign w:val="top"/>
          </w:tcPr>
          <w:p w14:paraId="404C2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15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7" w:type="dxa"/>
            <w:tcBorders>
              <w:tl2br w:val="nil"/>
              <w:tr2bl w:val="nil"/>
            </w:tcBorders>
            <w:vAlign w:val="top"/>
          </w:tcPr>
          <w:p w14:paraId="1F901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obesity+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entral obesity</w:t>
            </w:r>
          </w:p>
        </w:tc>
        <w:tc>
          <w:tcPr>
            <w:tcW w:w="856" w:type="dxa"/>
            <w:tcBorders>
              <w:tl2br w:val="nil"/>
              <w:tr2bl w:val="nil"/>
            </w:tcBorders>
            <w:vAlign w:val="center"/>
          </w:tcPr>
          <w:p w14:paraId="39F335C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7" w:type="dxa"/>
            <w:tcBorders>
              <w:tl2br w:val="nil"/>
              <w:tr2bl w:val="nil"/>
            </w:tcBorders>
            <w:vAlign w:val="center"/>
          </w:tcPr>
          <w:p w14:paraId="440F580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2CCCEF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43.33%</w:t>
            </w:r>
          </w:p>
        </w:tc>
        <w:tc>
          <w:tcPr>
            <w:tcW w:w="2089" w:type="dxa"/>
            <w:tcBorders>
              <w:tl2br w:val="nil"/>
              <w:tr2bl w:val="nil"/>
            </w:tcBorders>
            <w:vAlign w:val="center"/>
          </w:tcPr>
          <w:p w14:paraId="3F236BB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2.112(1.498,2.977)</w:t>
            </w:r>
          </w:p>
        </w:tc>
      </w:tr>
    </w:tbl>
    <w:p w14:paraId="04BA71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Model: </w:t>
      </w:r>
      <w:r>
        <w:rPr>
          <w:rFonts w:hint="default" w:ascii="Times New Roman" w:hAnsi="Times New Roman" w:eastAsia="宋体" w:cs="Times New Roman"/>
          <w:color w:val="000000"/>
          <w:spacing w:val="15"/>
          <w:sz w:val="24"/>
          <w:szCs w:val="24"/>
          <w:lang w:val="en-US" w:eastAsia="zh-CN"/>
        </w:rPr>
        <w:t>adjusted age, education level, smoking, drinking, physical activity, family per capita monthly income, occupation, family history of CVDs, high-salt diet, high-fat diet, HDL-C, FPG, TC, TG and blood pressure</w:t>
      </w:r>
    </w:p>
    <w:p w14:paraId="23DAE2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258F9B"/>
    <w:multiLevelType w:val="multilevel"/>
    <w:tmpl w:val="A1258F9B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5NTNlODY0ZjEyNDZmMjc0OGYxMmM5N2Q3ZjUxY2MifQ=="/>
  </w:docVars>
  <w:rsids>
    <w:rsidRoot w:val="7A0720D2"/>
    <w:rsid w:val="2A303878"/>
    <w:rsid w:val="326B18F7"/>
    <w:rsid w:val="381A26BA"/>
    <w:rsid w:val="39352D91"/>
    <w:rsid w:val="555E5ECB"/>
    <w:rsid w:val="57EB0BE0"/>
    <w:rsid w:val="608870F4"/>
    <w:rsid w:val="6B5F7867"/>
    <w:rsid w:val="6B696889"/>
    <w:rsid w:val="79986674"/>
    <w:rsid w:val="7A0720D2"/>
    <w:rsid w:val="7E7C3044"/>
    <w:rsid w:val="7F27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eastAsia="宋体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autoRedefine/>
    <w:qFormat/>
    <w:uiPriority w:val="0"/>
    <w:pPr>
      <w:jc w:val="left"/>
    </w:pPr>
  </w:style>
  <w:style w:type="paragraph" w:styleId="1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autoRedefine/>
    <w:qFormat/>
    <w:uiPriority w:val="9"/>
    <w:rPr>
      <w:rFonts w:eastAsia="宋体" w:asciiTheme="minorAscii" w:hAnsiTheme="minorAscii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1330</Words>
  <Characters>8381</Characters>
  <Lines>0</Lines>
  <Paragraphs>0</Paragraphs>
  <TotalTime>15</TotalTime>
  <ScaleCrop>false</ScaleCrop>
  <LinksUpToDate>false</LinksUpToDate>
  <CharactersWithSpaces>8922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2023-11-10T13:27:00Z</dcterms:created>
  <dc:creator>略略略</dc:creator>
  <cp:lastModifiedBy>沨月不相关</cp:lastModifiedBy>
  <dcterms:modified xsi:type="dcterms:W3CDTF">2024-10-09T02:52:46Z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CF46A3BE31064E9F986ACA3355969229_11</vt:lpwstr>
  </property>
</Properties>
</file>