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b/>
          <w:bCs/>
          <w:kern w:val="0"/>
          <w:szCs w:val="21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Cs w:val="21"/>
          <w:lang w:bidi="ar"/>
        </w:rPr>
        <w:t>T</w:t>
      </w:r>
      <w:r>
        <w:rPr>
          <w:rFonts w:ascii="Times New Roman" w:hAnsi="Times New Roman" w:eastAsia="宋体" w:cs="Times New Roman"/>
          <w:b/>
          <w:bCs/>
          <w:kern w:val="0"/>
          <w:szCs w:val="21"/>
          <w:lang w:bidi="ar"/>
        </w:rPr>
        <w:t>bale</w:t>
      </w:r>
      <w:r>
        <w:rPr>
          <w:rFonts w:hint="eastAsia" w:ascii="Times New Roman" w:hAnsi="Times New Roman" w:eastAsia="宋体" w:cs="Times New Roman"/>
          <w:b/>
          <w:bCs/>
          <w:kern w:val="0"/>
          <w:szCs w:val="21"/>
          <w:lang w:val="en-US" w:eastAsia="zh-CN" w:bidi="ar"/>
        </w:rPr>
        <w:t>S1</w:t>
      </w:r>
      <w:r>
        <w:rPr>
          <w:rFonts w:ascii="Times New Roman" w:hAnsi="Times New Roman" w:eastAsia="宋体" w:cs="Times New Roman"/>
          <w:b/>
          <w:bCs/>
          <w:kern w:val="0"/>
          <w:szCs w:val="21"/>
          <w:lang w:bidi="ar"/>
        </w:rPr>
        <w:t xml:space="preserve">. Multivariate logistic regression for patients </w:t>
      </w:r>
      <w:r>
        <w:rPr>
          <w:rFonts w:ascii="Times New Roman" w:hAnsi="Times New Roman" w:eastAsia="宋体" w:cs="Times New Roman"/>
          <w:b/>
          <w:bCs/>
          <w:kern w:val="0"/>
          <w:szCs w:val="21"/>
          <w:lang w:eastAsia="zh-Hans" w:bidi="ar"/>
        </w:rPr>
        <w:t>with</w:t>
      </w:r>
      <w:r>
        <w:rPr>
          <w:rFonts w:ascii="Times New Roman" w:hAnsi="Times New Roman" w:eastAsia="宋体" w:cs="Times New Roman"/>
          <w:b/>
          <w:bCs/>
          <w:kern w:val="0"/>
          <w:szCs w:val="21"/>
          <w:lang w:bidi="ar"/>
        </w:rPr>
        <w:t xml:space="preserve"> LTFU label before the treatment or during the treatment. </w:t>
      </w:r>
    </w:p>
    <w:tbl>
      <w:tblPr>
        <w:tblStyle w:val="3"/>
        <w:tblpPr w:leftFromText="180" w:rightFromText="180" w:vertAnchor="text" w:horzAnchor="page" w:tblpXSpec="center" w:tblpY="257"/>
        <w:tblOverlap w:val="never"/>
        <w:tblW w:w="13615" w:type="dxa"/>
        <w:jc w:val="center"/>
        <w:tblBorders>
          <w:top w:val="single" w:color="auto" w:sz="12" w:space="0"/>
          <w:left w:val="dashed" w:color="auto" w:sz="4" w:space="0"/>
          <w:bottom w:val="single" w:color="auto" w:sz="12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3873"/>
        <w:gridCol w:w="2542"/>
        <w:gridCol w:w="1571"/>
        <w:gridCol w:w="1898"/>
        <w:gridCol w:w="1211"/>
      </w:tblGrid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vMerge w:val="restart"/>
            <w:shd w:val="clear" w:color="auto" w:fill="auto"/>
          </w:tcPr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Variables </w:t>
            </w:r>
          </w:p>
        </w:tc>
        <w:tc>
          <w:tcPr>
            <w:tcW w:w="3873" w:type="dxa"/>
            <w:vMerge w:val="restart"/>
            <w:shd w:val="clear" w:color="auto" w:fill="auto"/>
          </w:tcPr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Category </w:t>
            </w:r>
          </w:p>
        </w:tc>
        <w:tc>
          <w:tcPr>
            <w:tcW w:w="4113" w:type="dxa"/>
            <w:gridSpan w:val="2"/>
            <w:tcBorders>
              <w:bottom w:val="single" w:color="auto" w:sz="12" w:space="0"/>
            </w:tcBorders>
            <w:shd w:val="clear" w:color="auto" w:fill="auto"/>
          </w:tcPr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TFU before the initiation</w:t>
            </w:r>
          </w:p>
        </w:tc>
        <w:tc>
          <w:tcPr>
            <w:tcW w:w="3109" w:type="dxa"/>
            <w:gridSpan w:val="2"/>
            <w:tcBorders>
              <w:bottom w:val="single" w:color="auto" w:sz="12" w:space="0"/>
            </w:tcBorders>
            <w:shd w:val="clear" w:color="auto" w:fill="auto"/>
          </w:tcPr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TFU after the initiation</w:t>
            </w:r>
          </w:p>
        </w:tc>
      </w:tr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520" w:type="dxa"/>
            <w:vMerge w:val="continue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3873" w:type="dxa"/>
            <w:vMerge w:val="continue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2542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</w:tcPr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Adjusted odds </w:t>
            </w:r>
          </w:p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ratio (95% CI)</w:t>
            </w:r>
          </w:p>
        </w:tc>
        <w:tc>
          <w:tcPr>
            <w:tcW w:w="1571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</w:tcPr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-value</w:t>
            </w:r>
          </w:p>
        </w:tc>
        <w:tc>
          <w:tcPr>
            <w:tcW w:w="1898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</w:tcPr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Adjusted odds </w:t>
            </w:r>
          </w:p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ratio (95% CI)</w:t>
            </w:r>
          </w:p>
        </w:tc>
        <w:tc>
          <w:tcPr>
            <w:tcW w:w="1211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</w:tcPr>
          <w:p>
            <w:pPr>
              <w:spacing w:after="160" w:line="25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-value</w:t>
            </w:r>
          </w:p>
        </w:tc>
      </w:tr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Education </w:t>
            </w:r>
          </w:p>
        </w:tc>
        <w:tc>
          <w:tcPr>
            <w:tcW w:w="3873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J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unior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vs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Primary School or under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2542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0.12(0.09–0.17)</w:t>
            </w:r>
          </w:p>
        </w:tc>
        <w:tc>
          <w:tcPr>
            <w:tcW w:w="1571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898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211" w:type="dxa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3873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enior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vs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Primary School or under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0.27(0.22-0.34)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898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3873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Associate Degree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vs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Primary School or under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0.15(0.10-0.22)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898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3873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Bachelor's degree and above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vs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Primary School or under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0.10(0.06-0.17)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898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occupation</w:t>
            </w:r>
          </w:p>
        </w:tc>
        <w:tc>
          <w:tcPr>
            <w:tcW w:w="3873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Employee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（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vs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Unemployed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1.21(1.02–1.43)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0.029</w:t>
            </w:r>
          </w:p>
        </w:tc>
        <w:tc>
          <w:tcPr>
            <w:tcW w:w="1898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1.15(1.04–1.27)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0.005</w:t>
            </w:r>
          </w:p>
        </w:tc>
      </w:tr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rinking</w:t>
            </w:r>
          </w:p>
        </w:tc>
        <w:tc>
          <w:tcPr>
            <w:tcW w:w="3873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Y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vs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2.18(1.79-2.65)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898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Has been hospitalized</w:t>
            </w:r>
          </w:p>
        </w:tc>
        <w:tc>
          <w:tcPr>
            <w:tcW w:w="3873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Y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vs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0.22(0.17–0.28)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898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0.19(0.17–0.22)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Admission method</w:t>
            </w:r>
          </w:p>
        </w:tc>
        <w:tc>
          <w:tcPr>
            <w:tcW w:w="3873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Outpatient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vs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 Emergency)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2.61(2.10–3.25)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1898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2.53(2.25-2.85)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dashed" w:color="auto" w:sz="4" w:space="0"/>
            <w:bottom w:val="single" w:color="auto" w:sz="12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Previous history </w:t>
            </w:r>
          </w:p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of TB</w:t>
            </w:r>
          </w:p>
        </w:tc>
        <w:tc>
          <w:tcPr>
            <w:tcW w:w="3873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Y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vs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）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1.64(1.18–2.29)</w:t>
            </w:r>
          </w:p>
        </w:tc>
        <w:tc>
          <w:tcPr>
            <w:tcW w:w="157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0.004</w:t>
            </w:r>
          </w:p>
        </w:tc>
        <w:tc>
          <w:tcPr>
            <w:tcW w:w="1898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spacing w:after="160" w:line="254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</w:tbl>
    <w:p>
      <w:pPr>
        <w:rPr>
          <w:rFonts w:ascii="Times New Roman" w:hAnsi="Times New Roman" w:eastAsia="宋体" w:cs="Times New Roman"/>
          <w:b/>
          <w:bCs/>
          <w:kern w:val="0"/>
          <w:szCs w:val="21"/>
          <w:lang w:bidi="ar"/>
        </w:rPr>
        <w:sectPr>
          <w:pgSz w:w="16838" w:h="23811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  <w:drawing>
          <wp:inline distT="0" distB="0" distL="114300" distR="114300">
            <wp:extent cx="5267960" cy="3289935"/>
            <wp:effectExtent l="0" t="0" r="8890" b="5715"/>
            <wp:docPr id="1" name="图片 1" descr="Supplementary  Figure S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 Figure S1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8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  <w:t>Supplementary figure S1.1. SHAP value of LTFU before the treatment.</w:t>
      </w:r>
      <w:bookmarkStart w:id="0" w:name="_GoBack"/>
      <w:bookmarkEnd w:id="0"/>
    </w:p>
    <w:p>
      <w:pP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  <w:br w:type="page"/>
      </w:r>
    </w:p>
    <w:p>
      <w:pP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  <w:drawing>
          <wp:inline distT="0" distB="0" distL="114300" distR="114300">
            <wp:extent cx="5267960" cy="3289935"/>
            <wp:effectExtent l="0" t="0" r="8890" b="5715"/>
            <wp:docPr id="2" name="图片 2" descr="Supplementary  Figure S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 Figure S1.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8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</w:pPr>
    </w:p>
    <w:p>
      <w:pPr>
        <w:rPr>
          <w:rFonts w:hint="eastAsia" w:eastAsiaTheme="minorEastAsia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Cs w:val="21"/>
          <w:lang w:eastAsia="zh-CN" w:bidi="ar"/>
        </w:rPr>
        <w:t>Supplementary figure S1.2. SHAP value of LTFU during the treatme</w:t>
      </w:r>
      <w:r>
        <w:rPr>
          <w:rFonts w:hint="eastAsia" w:ascii="Times New Roman" w:hAnsi="Times New Roman" w:eastAsia="宋体" w:cs="Times New Roman"/>
          <w:b/>
          <w:bCs/>
          <w:kern w:val="0"/>
          <w:szCs w:val="21"/>
          <w:lang w:val="en-US" w:eastAsia="zh-CN" w:bidi="ar"/>
        </w:rPr>
        <w:t>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NTViYWFjMTQzYWQwNjNlODQ1NWQ3ODE5Y2FhYmYifQ=="/>
  </w:docVars>
  <w:rsids>
    <w:rsidRoot w:val="00000000"/>
    <w:rsid w:val="0069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154</Words>
  <Characters>889</Characters>
  <Lines>0</Lines>
  <Paragraphs>0</Paragraphs>
  <TotalTime>5</TotalTime>
  <ScaleCrop>false</ScaleCrop>
  <LinksUpToDate>false</LinksUpToDate>
  <CharactersWithSpaces>972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2023-11-01T01:05:00Z</dcterms:created>
  <dc:creator>LIULin</dc:creator>
  <cp:lastModifiedBy>刘琳琳</cp:lastModifiedBy>
  <dcterms:modified xsi:type="dcterms:W3CDTF">2023-11-01T01:52:05Z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81452A41CB7242B0BFD7785238337D0E_12</vt:lpwstr>
  </property>
</Properties>
</file>