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54CD6" w14:textId="77777777" w:rsidR="008851D7" w:rsidRPr="00002469" w:rsidRDefault="008851D7" w:rsidP="008851D7">
      <w:pPr>
        <w:widowControl w:val="0"/>
        <w:rPr>
          <w:rFonts w:ascii="Times New Roman" w:eastAsia="Times New Roman" w:hAnsi="Times New Roman" w:cs="Times New Roman"/>
          <w:b/>
          <w:sz w:val="24"/>
        </w:rPr>
      </w:pPr>
      <w:r w:rsidRPr="00002469">
        <w:rPr>
          <w:rFonts w:ascii="Times New Roman" w:eastAsia="Times New Roman" w:hAnsi="Times New Roman" w:cs="Times New Roman"/>
          <w:b/>
          <w:sz w:val="24"/>
        </w:rPr>
        <w:t xml:space="preserve">Supplementary Information </w:t>
      </w:r>
    </w:p>
    <w:p w14:paraId="35F6CD58" w14:textId="77777777" w:rsidR="008851D7" w:rsidRPr="00002469" w:rsidRDefault="008851D7" w:rsidP="008851D7">
      <w:pPr>
        <w:widowControl w:val="0"/>
        <w:rPr>
          <w:rFonts w:ascii="Times New Roman" w:eastAsia="Times New Roman" w:hAnsi="Times New Roman" w:cs="Times New Roman"/>
          <w:b/>
          <w:sz w:val="24"/>
        </w:rPr>
      </w:pPr>
    </w:p>
    <w:p w14:paraId="34AEB9F5" w14:textId="697718E0" w:rsidR="008851D7" w:rsidRPr="00002469" w:rsidRDefault="008851D7" w:rsidP="008851D7">
      <w:pPr>
        <w:widowControl w:val="0"/>
        <w:rPr>
          <w:rFonts w:ascii="Times New Roman" w:eastAsia="Times New Roman" w:hAnsi="Times New Roman" w:cs="Times New Roman"/>
          <w:sz w:val="24"/>
        </w:rPr>
      </w:pPr>
      <w:r w:rsidRPr="00002469">
        <w:rPr>
          <w:rFonts w:ascii="Times New Roman" w:eastAsia="Times New Roman" w:hAnsi="Times New Roman" w:cs="Times New Roman"/>
          <w:b/>
          <w:sz w:val="24"/>
        </w:rPr>
        <w:t xml:space="preserve">Supplementary Figure S1. </w:t>
      </w:r>
      <w:r w:rsidR="005F1C65" w:rsidRPr="00002469">
        <w:rPr>
          <w:rFonts w:ascii="Times New Roman" w:eastAsia="Times New Roman" w:hAnsi="Times New Roman" w:cs="Times New Roman"/>
          <w:b/>
          <w:sz w:val="24"/>
        </w:rPr>
        <w:t>G</w:t>
      </w:r>
      <w:r w:rsidRPr="00002469">
        <w:rPr>
          <w:rFonts w:ascii="Times New Roman" w:eastAsia="Times New Roman" w:hAnsi="Times New Roman" w:cs="Times New Roman"/>
          <w:b/>
          <w:sz w:val="24"/>
        </w:rPr>
        <w:t xml:space="preserve">rowth of planktonic and biofilm cells of </w:t>
      </w:r>
      <w:r w:rsidRPr="00002469">
        <w:rPr>
          <w:rFonts w:ascii="Times New Roman" w:eastAsia="Times New Roman" w:hAnsi="Times New Roman" w:cs="Times New Roman"/>
          <w:b/>
          <w:i/>
          <w:sz w:val="24"/>
        </w:rPr>
        <w:t>S. aureus</w:t>
      </w:r>
      <w:r w:rsidRPr="00002469">
        <w:rPr>
          <w:rFonts w:ascii="Times New Roman" w:eastAsia="Times New Roman" w:hAnsi="Times New Roman" w:cs="Times New Roman"/>
          <w:b/>
          <w:sz w:val="24"/>
        </w:rPr>
        <w:t xml:space="preserve"> in different culture conditions. </w:t>
      </w:r>
      <w:r w:rsidRPr="00002469">
        <w:rPr>
          <w:rFonts w:ascii="Times New Roman" w:eastAsia="Times New Roman" w:hAnsi="Times New Roman" w:cs="Times New Roman"/>
          <w:i/>
          <w:sz w:val="24"/>
        </w:rPr>
        <w:t>S. aureus</w:t>
      </w:r>
      <w:r w:rsidRPr="00002469">
        <w:rPr>
          <w:rFonts w:ascii="Times New Roman" w:eastAsia="Times New Roman" w:hAnsi="Times New Roman" w:cs="Times New Roman"/>
          <w:sz w:val="24"/>
        </w:rPr>
        <w:t xml:space="preserve"> (</w:t>
      </w:r>
      <w:r w:rsidR="0093589F" w:rsidRPr="00511C49">
        <w:rPr>
          <w:rFonts w:ascii="Times New Roman" w:eastAsiaTheme="minorEastAsia" w:hAnsi="Times New Roman" w:cs="Times New Roman"/>
          <w:sz w:val="24"/>
          <w:lang w:eastAsia="ja-JP"/>
        </w:rPr>
        <w:t xml:space="preserve">strain </w:t>
      </w:r>
      <w:r w:rsidRPr="00002469">
        <w:rPr>
          <w:rFonts w:ascii="Times New Roman" w:eastAsia="Times New Roman" w:hAnsi="Times New Roman" w:cs="Times New Roman"/>
          <w:sz w:val="24"/>
        </w:rPr>
        <w:t>ATCC 25923) was cultured on a 96-well plate with a 96-peg lid for 24 and 48 h at 37 and 39 °C.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a, b</w:t>
      </w:r>
      <w:r w:rsidRPr="00002469">
        <w:rPr>
          <w:rFonts w:ascii="Times New Roman" w:eastAsia="Times New Roman" w:hAnsi="Times New Roman" w:cs="Times New Roman"/>
          <w:sz w:val="24"/>
        </w:rPr>
        <w:t>) The growth of planktonic cells.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c, d</w:t>
      </w:r>
      <w:r w:rsidRPr="00002469">
        <w:rPr>
          <w:rFonts w:ascii="Times New Roman" w:eastAsia="Times New Roman" w:hAnsi="Times New Roman" w:cs="Times New Roman"/>
          <w:sz w:val="24"/>
        </w:rPr>
        <w:t>) The growth of biofilm cells.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e, f</w:t>
      </w:r>
      <w:r w:rsidRPr="00002469">
        <w:rPr>
          <w:rFonts w:ascii="Times New Roman" w:eastAsia="Times New Roman" w:hAnsi="Times New Roman" w:cs="Times New Roman"/>
          <w:sz w:val="24"/>
        </w:rPr>
        <w:t xml:space="preserve">) The biofilm formation index (BFI) was calculated as described in </w:t>
      </w:r>
      <w:r w:rsidR="00BB7545" w:rsidRPr="00002469">
        <w:rPr>
          <w:rFonts w:ascii="Times New Roman" w:eastAsia="Times New Roman" w:hAnsi="Times New Roman" w:cs="Times New Roman"/>
          <w:sz w:val="24"/>
        </w:rPr>
        <w:t>‘</w:t>
      </w:r>
      <w:r w:rsidR="00BD045D" w:rsidRPr="00002469">
        <w:rPr>
          <w:rFonts w:ascii="Times New Roman" w:eastAsia="Times New Roman" w:hAnsi="Times New Roman" w:cs="Times New Roman"/>
          <w:sz w:val="24"/>
        </w:rPr>
        <w:t>M</w:t>
      </w:r>
      <w:r w:rsidRPr="00002469">
        <w:rPr>
          <w:rFonts w:ascii="Times New Roman" w:eastAsia="Times New Roman" w:hAnsi="Times New Roman" w:cs="Times New Roman"/>
          <w:sz w:val="24"/>
        </w:rPr>
        <w:t>ethods</w:t>
      </w:r>
      <w:r w:rsidR="00BB7545" w:rsidRPr="00002469">
        <w:rPr>
          <w:rFonts w:ascii="Times New Roman" w:eastAsia="Times New Roman" w:hAnsi="Times New Roman" w:cs="Times New Roman"/>
          <w:sz w:val="24"/>
        </w:rPr>
        <w:t>’</w:t>
      </w:r>
      <w:r w:rsidRPr="00002469">
        <w:rPr>
          <w:rFonts w:ascii="Times New Roman" w:eastAsia="Times New Roman" w:hAnsi="Times New Roman" w:cs="Times New Roman"/>
          <w:sz w:val="24"/>
        </w:rPr>
        <w:t>. Asterisk indicates a signiﬁcant difference (</w:t>
      </w:r>
      <w:r w:rsidRPr="00002469">
        <w:rPr>
          <w:rFonts w:ascii="Times New Roman" w:eastAsia="Times New Roman" w:hAnsi="Times New Roman" w:cs="Times New Roman"/>
          <w:sz w:val="24"/>
          <w:vertAlign w:val="superscript"/>
        </w:rPr>
        <w:t>**</w:t>
      </w:r>
      <w:r w:rsidRPr="00002469">
        <w:rPr>
          <w:rFonts w:ascii="Times New Roman" w:eastAsia="Times New Roman" w:hAnsi="Times New Roman" w:cs="Times New Roman"/>
          <w:i/>
          <w:sz w:val="24"/>
        </w:rPr>
        <w:t>P</w:t>
      </w:r>
      <w:r w:rsidRPr="00002469">
        <w:rPr>
          <w:rFonts w:ascii="Times New Roman" w:eastAsia="Times New Roman" w:hAnsi="Times New Roman" w:cs="Times New Roman"/>
          <w:sz w:val="24"/>
        </w:rPr>
        <w:t xml:space="preserve"> &lt; 0.01 and </w:t>
      </w:r>
      <w:r w:rsidRPr="00002469">
        <w:rPr>
          <w:rFonts w:ascii="Times New Roman" w:eastAsia="Times New Roman" w:hAnsi="Times New Roman" w:cs="Times New Roman"/>
          <w:sz w:val="24"/>
          <w:vertAlign w:val="superscript"/>
        </w:rPr>
        <w:t>*</w:t>
      </w:r>
      <w:r w:rsidRPr="00002469">
        <w:rPr>
          <w:rFonts w:ascii="Times New Roman" w:eastAsia="Times New Roman" w:hAnsi="Times New Roman" w:cs="Times New Roman"/>
          <w:i/>
          <w:sz w:val="24"/>
        </w:rPr>
        <w:t>P</w:t>
      </w:r>
      <w:r w:rsidRPr="00002469">
        <w:rPr>
          <w:rFonts w:ascii="Times New Roman" w:eastAsia="Times New Roman" w:hAnsi="Times New Roman" w:cs="Times New Roman"/>
          <w:sz w:val="24"/>
        </w:rPr>
        <w:t xml:space="preserve"> &lt; 0.05, One and two-way factorial ANOVA with Bonferroni).</w:t>
      </w:r>
    </w:p>
    <w:p w14:paraId="2E20C89E" w14:textId="77777777" w:rsidR="008851D7" w:rsidRPr="00002469" w:rsidRDefault="008851D7" w:rsidP="008851D7">
      <w:pPr>
        <w:widowControl w:val="0"/>
        <w:rPr>
          <w:rFonts w:ascii="Times New Roman" w:eastAsia="Times New Roman" w:hAnsi="Times New Roman" w:cs="Times New Roman"/>
          <w:sz w:val="24"/>
        </w:rPr>
      </w:pPr>
    </w:p>
    <w:p w14:paraId="4A264E3A" w14:textId="378C0904" w:rsidR="00C03302" w:rsidRPr="00002469" w:rsidRDefault="008851D7" w:rsidP="0077529D">
      <w:pPr>
        <w:widowControl w:val="0"/>
        <w:rPr>
          <w:rFonts w:eastAsiaTheme="minorEastAsia"/>
          <w:lang w:eastAsia="ja-JP"/>
        </w:rPr>
      </w:pPr>
      <w:r w:rsidRPr="00002469">
        <w:rPr>
          <w:rFonts w:ascii="Times New Roman" w:eastAsia="Times New Roman" w:hAnsi="Times New Roman" w:cs="Times New Roman"/>
          <w:b/>
          <w:sz w:val="24"/>
        </w:rPr>
        <w:t xml:space="preserve">Supplementary Figure S2. </w:t>
      </w:r>
      <w:r w:rsidR="00E54609" w:rsidRPr="00002469">
        <w:rPr>
          <w:rFonts w:ascii="Times New Roman" w:eastAsia="Times New Roman" w:hAnsi="Times New Roman" w:cs="Times New Roman"/>
          <w:b/>
          <w:sz w:val="24"/>
        </w:rPr>
        <w:t>G</w:t>
      </w:r>
      <w:r w:rsidRPr="00002469">
        <w:rPr>
          <w:rFonts w:ascii="Times New Roman" w:eastAsia="Times New Roman" w:hAnsi="Times New Roman" w:cs="Times New Roman"/>
          <w:b/>
          <w:sz w:val="24"/>
        </w:rPr>
        <w:t xml:space="preserve">rowth of planktonic and biofilm cells of </w:t>
      </w:r>
      <w:r w:rsidRPr="00002469">
        <w:rPr>
          <w:rFonts w:ascii="Times New Roman" w:eastAsia="Times New Roman" w:hAnsi="Times New Roman" w:cs="Times New Roman"/>
          <w:b/>
          <w:i/>
          <w:sz w:val="24"/>
        </w:rPr>
        <w:t>S. haemolyticus</w:t>
      </w:r>
      <w:r w:rsidRPr="00002469">
        <w:rPr>
          <w:rFonts w:ascii="Times New Roman" w:eastAsia="Times New Roman" w:hAnsi="Times New Roman" w:cs="Times New Roman"/>
          <w:b/>
          <w:sz w:val="24"/>
        </w:rPr>
        <w:t xml:space="preserve"> in different culture conditions. </w:t>
      </w:r>
      <w:r w:rsidRPr="00002469">
        <w:rPr>
          <w:rFonts w:ascii="Times New Roman" w:eastAsia="Times New Roman" w:hAnsi="Times New Roman" w:cs="Times New Roman"/>
          <w:i/>
          <w:sz w:val="24"/>
        </w:rPr>
        <w:t>S. haemolyticus</w:t>
      </w:r>
      <w:r w:rsidRPr="00002469">
        <w:rPr>
          <w:rFonts w:ascii="Times New Roman" w:eastAsia="Times New Roman" w:hAnsi="Times New Roman" w:cs="Times New Roman"/>
          <w:sz w:val="24"/>
        </w:rPr>
        <w:t xml:space="preserve"> (</w:t>
      </w:r>
      <w:r w:rsidR="0093589F" w:rsidRPr="00511C49">
        <w:rPr>
          <w:rFonts w:ascii="Times New Roman" w:eastAsiaTheme="minorEastAsia" w:hAnsi="Times New Roman" w:cs="Times New Roman"/>
          <w:sz w:val="24"/>
          <w:lang w:eastAsia="ja-JP"/>
        </w:rPr>
        <w:t xml:space="preserve">strain </w:t>
      </w:r>
      <w:r w:rsidRPr="00002469">
        <w:rPr>
          <w:rFonts w:ascii="Times New Roman" w:eastAsia="Times New Roman" w:hAnsi="Times New Roman" w:cs="Times New Roman"/>
          <w:sz w:val="24"/>
        </w:rPr>
        <w:t>1369A) was cultured on a 96-well plate with a 96-peg lid for 24 and 48 h at 37 and 39 °C.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a, b</w:t>
      </w:r>
      <w:r w:rsidRPr="00002469">
        <w:rPr>
          <w:rFonts w:ascii="Times New Roman" w:eastAsia="Times New Roman" w:hAnsi="Times New Roman" w:cs="Times New Roman"/>
          <w:sz w:val="24"/>
        </w:rPr>
        <w:t>) The growth of planktonic cells.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c, d</w:t>
      </w:r>
      <w:r w:rsidRPr="00002469">
        <w:rPr>
          <w:rFonts w:ascii="Times New Roman" w:eastAsia="Times New Roman" w:hAnsi="Times New Roman" w:cs="Times New Roman"/>
          <w:sz w:val="24"/>
        </w:rPr>
        <w:t>) The growth of biofilm cells. (</w:t>
      </w:r>
      <w:r w:rsidRPr="00002469">
        <w:rPr>
          <w:rFonts w:ascii="Times New Roman" w:eastAsia="Times New Roman" w:hAnsi="Times New Roman" w:cs="Times New Roman"/>
          <w:b/>
          <w:bCs/>
          <w:sz w:val="24"/>
        </w:rPr>
        <w:t>e, f</w:t>
      </w:r>
      <w:r w:rsidRPr="00002469">
        <w:rPr>
          <w:rFonts w:ascii="Times New Roman" w:eastAsia="Times New Roman" w:hAnsi="Times New Roman" w:cs="Times New Roman"/>
          <w:sz w:val="24"/>
        </w:rPr>
        <w:t xml:space="preserve">) The biofilm formation index (BFI) was calculated as described in </w:t>
      </w:r>
      <w:r w:rsidR="00A22387" w:rsidRPr="00002469">
        <w:rPr>
          <w:rFonts w:ascii="Times New Roman" w:eastAsia="Times New Roman" w:hAnsi="Times New Roman" w:cs="Times New Roman"/>
          <w:sz w:val="24"/>
        </w:rPr>
        <w:t>‘Methods’</w:t>
      </w:r>
      <w:r w:rsidRPr="00002469">
        <w:rPr>
          <w:rFonts w:ascii="Times New Roman" w:eastAsia="Times New Roman" w:hAnsi="Times New Roman" w:cs="Times New Roman"/>
          <w:sz w:val="24"/>
        </w:rPr>
        <w:t>. Asterisk indicates a signiﬁcant difference (</w:t>
      </w:r>
      <w:r w:rsidRPr="00002469">
        <w:rPr>
          <w:rFonts w:ascii="Times New Roman" w:eastAsia="Times New Roman" w:hAnsi="Times New Roman" w:cs="Times New Roman"/>
          <w:sz w:val="24"/>
          <w:vertAlign w:val="superscript"/>
        </w:rPr>
        <w:t>**</w:t>
      </w:r>
      <w:r w:rsidRPr="00002469">
        <w:rPr>
          <w:rFonts w:ascii="Times New Roman" w:eastAsia="Times New Roman" w:hAnsi="Times New Roman" w:cs="Times New Roman"/>
          <w:i/>
          <w:sz w:val="24"/>
        </w:rPr>
        <w:t>P</w:t>
      </w:r>
      <w:r w:rsidRPr="00002469">
        <w:rPr>
          <w:rFonts w:ascii="Times New Roman" w:eastAsia="Times New Roman" w:hAnsi="Times New Roman" w:cs="Times New Roman"/>
          <w:sz w:val="24"/>
        </w:rPr>
        <w:t xml:space="preserve"> &lt; 0.01 and </w:t>
      </w:r>
      <w:r w:rsidRPr="00002469">
        <w:rPr>
          <w:rFonts w:ascii="Times New Roman" w:eastAsia="Times New Roman" w:hAnsi="Times New Roman" w:cs="Times New Roman"/>
          <w:sz w:val="24"/>
          <w:vertAlign w:val="superscript"/>
        </w:rPr>
        <w:t>*</w:t>
      </w:r>
      <w:r w:rsidRPr="00002469">
        <w:rPr>
          <w:rFonts w:ascii="Times New Roman" w:eastAsia="Times New Roman" w:hAnsi="Times New Roman" w:cs="Times New Roman"/>
          <w:i/>
          <w:sz w:val="24"/>
        </w:rPr>
        <w:t>P</w:t>
      </w:r>
      <w:r w:rsidRPr="00002469">
        <w:rPr>
          <w:rFonts w:ascii="Times New Roman" w:eastAsia="Times New Roman" w:hAnsi="Times New Roman" w:cs="Times New Roman"/>
          <w:sz w:val="24"/>
        </w:rPr>
        <w:t xml:space="preserve"> &lt; 0.05, One and two-way factorial ANOVA with Bonferroni).</w:t>
      </w:r>
    </w:p>
    <w:sectPr w:rsidR="00C03302" w:rsidRPr="00002469" w:rsidSect="008851D7">
      <w:footerReference w:type="default" r:id="rId6"/>
      <w:pgSz w:w="12240" w:h="15840"/>
      <w:pgMar w:top="1714" w:right="1714" w:bottom="1714" w:left="1714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341EE" w14:textId="77777777" w:rsidR="004839F9" w:rsidRDefault="004839F9">
      <w:pPr>
        <w:spacing w:line="240" w:lineRule="auto"/>
      </w:pPr>
      <w:r>
        <w:separator/>
      </w:r>
    </w:p>
  </w:endnote>
  <w:endnote w:type="continuationSeparator" w:id="0">
    <w:p w14:paraId="756ADC43" w14:textId="77777777" w:rsidR="004839F9" w:rsidRDefault="00483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5A96D" w14:textId="77777777" w:rsidR="00B559C3" w:rsidRPr="00BC5566" w:rsidRDefault="00B559C3">
    <w:pPr>
      <w:pStyle w:val="a3"/>
      <w:jc w:val="center"/>
    </w:pPr>
    <w:r w:rsidRPr="00BC5566">
      <w:fldChar w:fldCharType="begin"/>
    </w:r>
    <w:r w:rsidRPr="00BC5566">
      <w:instrText>PAGE   \* MERGEFORMAT</w:instrText>
    </w:r>
    <w:r w:rsidRPr="00BC5566">
      <w:fldChar w:fldCharType="separate"/>
    </w:r>
    <w:r w:rsidRPr="00BC5566">
      <w:t>2</w:t>
    </w:r>
    <w:r w:rsidRPr="00BC5566">
      <w:fldChar w:fldCharType="end"/>
    </w:r>
  </w:p>
  <w:p w14:paraId="02717053" w14:textId="77777777" w:rsidR="00B559C3" w:rsidRPr="00BC5566" w:rsidRDefault="00B559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D0039" w14:textId="77777777" w:rsidR="004839F9" w:rsidRDefault="004839F9">
      <w:pPr>
        <w:spacing w:line="240" w:lineRule="auto"/>
      </w:pPr>
      <w:r>
        <w:separator/>
      </w:r>
    </w:p>
  </w:footnote>
  <w:footnote w:type="continuationSeparator" w:id="0">
    <w:p w14:paraId="7A1E2AE0" w14:textId="77777777" w:rsidR="004839F9" w:rsidRDefault="004839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D7"/>
    <w:rsid w:val="00002469"/>
    <w:rsid w:val="000678AA"/>
    <w:rsid w:val="0022562F"/>
    <w:rsid w:val="002A6BAE"/>
    <w:rsid w:val="002B7F14"/>
    <w:rsid w:val="002D4480"/>
    <w:rsid w:val="00305D67"/>
    <w:rsid w:val="00310721"/>
    <w:rsid w:val="00337534"/>
    <w:rsid w:val="003870D7"/>
    <w:rsid w:val="003D6ECB"/>
    <w:rsid w:val="004139F3"/>
    <w:rsid w:val="0043780C"/>
    <w:rsid w:val="004839F9"/>
    <w:rsid w:val="00511C49"/>
    <w:rsid w:val="00593C91"/>
    <w:rsid w:val="005F1C65"/>
    <w:rsid w:val="0077529D"/>
    <w:rsid w:val="007D6A96"/>
    <w:rsid w:val="00835D03"/>
    <w:rsid w:val="008851D7"/>
    <w:rsid w:val="008C6AB4"/>
    <w:rsid w:val="008E4178"/>
    <w:rsid w:val="00927B48"/>
    <w:rsid w:val="0093589F"/>
    <w:rsid w:val="00950385"/>
    <w:rsid w:val="00951859"/>
    <w:rsid w:val="00952E63"/>
    <w:rsid w:val="009B365B"/>
    <w:rsid w:val="009C23BC"/>
    <w:rsid w:val="00A22387"/>
    <w:rsid w:val="00A265D0"/>
    <w:rsid w:val="00A77B46"/>
    <w:rsid w:val="00AE5765"/>
    <w:rsid w:val="00B24070"/>
    <w:rsid w:val="00B509F5"/>
    <w:rsid w:val="00B559C3"/>
    <w:rsid w:val="00B726C8"/>
    <w:rsid w:val="00BA0570"/>
    <w:rsid w:val="00BB56C8"/>
    <w:rsid w:val="00BB7545"/>
    <w:rsid w:val="00BC58D0"/>
    <w:rsid w:val="00BD045D"/>
    <w:rsid w:val="00BD2B09"/>
    <w:rsid w:val="00BE3E8D"/>
    <w:rsid w:val="00C028F5"/>
    <w:rsid w:val="00C03302"/>
    <w:rsid w:val="00C27B05"/>
    <w:rsid w:val="00C72538"/>
    <w:rsid w:val="00CF740E"/>
    <w:rsid w:val="00D247C0"/>
    <w:rsid w:val="00D43E92"/>
    <w:rsid w:val="00DC0A30"/>
    <w:rsid w:val="00E54609"/>
    <w:rsid w:val="00E90FCC"/>
    <w:rsid w:val="00EA0B6D"/>
    <w:rsid w:val="00EB698E"/>
    <w:rsid w:val="00EF7D0C"/>
    <w:rsid w:val="00F6053C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DF916"/>
  <w15:chartTrackingRefBased/>
  <w15:docId w15:val="{99B5A2C7-A44D-4697-A89F-6A992E20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1D7"/>
    <w:pPr>
      <w:spacing w:after="0" w:line="480" w:lineRule="auto"/>
    </w:pPr>
    <w:rPr>
      <w:rFonts w:ascii="Arial" w:eastAsia="Arial" w:hAnsi="Arial" w:cs="Arial"/>
      <w:sz w:val="20"/>
      <w:szCs w:val="20"/>
      <w:lang w:val="en-GB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51D7"/>
    <w:pPr>
      <w:tabs>
        <w:tab w:val="center" w:pos="4320"/>
        <w:tab w:val="right" w:pos="8640"/>
      </w:tabs>
    </w:pPr>
  </w:style>
  <w:style w:type="character" w:customStyle="1" w:styleId="a4">
    <w:name w:val="フッター (文字)"/>
    <w:basedOn w:val="a0"/>
    <w:link w:val="a3"/>
    <w:rsid w:val="008851D7"/>
    <w:rPr>
      <w:rFonts w:ascii="Arial" w:eastAsia="Arial" w:hAnsi="Arial" w:cs="Arial"/>
      <w:sz w:val="20"/>
      <w:szCs w:val="20"/>
      <w:lang w:val="en-GB" w:eastAsia="en-AU"/>
    </w:rPr>
  </w:style>
  <w:style w:type="character" w:styleId="a5">
    <w:name w:val="line number"/>
    <w:basedOn w:val="a0"/>
    <w:uiPriority w:val="99"/>
    <w:semiHidden/>
    <w:unhideWhenUsed/>
    <w:rsid w:val="008851D7"/>
  </w:style>
  <w:style w:type="character" w:styleId="a6">
    <w:name w:val="annotation reference"/>
    <w:basedOn w:val="a0"/>
    <w:uiPriority w:val="99"/>
    <w:semiHidden/>
    <w:unhideWhenUsed/>
    <w:rsid w:val="00B559C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559C3"/>
    <w:pPr>
      <w:spacing w:line="240" w:lineRule="auto"/>
    </w:pPr>
  </w:style>
  <w:style w:type="character" w:customStyle="1" w:styleId="a8">
    <w:name w:val="コメント文字列 (文字)"/>
    <w:basedOn w:val="a0"/>
    <w:link w:val="a7"/>
    <w:uiPriority w:val="99"/>
    <w:rsid w:val="00B559C3"/>
    <w:rPr>
      <w:rFonts w:ascii="Arial" w:eastAsia="Arial" w:hAnsi="Arial" w:cs="Arial"/>
      <w:sz w:val="20"/>
      <w:szCs w:val="20"/>
      <w:lang w:val="en-GB" w:eastAsia="en-A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559C3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559C3"/>
    <w:rPr>
      <w:rFonts w:ascii="Arial" w:eastAsia="Arial" w:hAnsi="Arial" w:cs="Arial"/>
      <w:b/>
      <w:bCs/>
      <w:sz w:val="20"/>
      <w:szCs w:val="20"/>
      <w:lang w:val="en-GB" w:eastAsia="en-AU"/>
    </w:rPr>
  </w:style>
  <w:style w:type="paragraph" w:styleId="ab">
    <w:name w:val="Revision"/>
    <w:hidden/>
    <w:uiPriority w:val="99"/>
    <w:semiHidden/>
    <w:rsid w:val="00D43E92"/>
    <w:pPr>
      <w:spacing w:after="0" w:line="240" w:lineRule="auto"/>
    </w:pPr>
    <w:rPr>
      <w:rFonts w:ascii="Arial" w:eastAsia="Arial" w:hAnsi="Arial" w:cs="Arial"/>
      <w:sz w:val="20"/>
      <w:szCs w:val="20"/>
      <w:lang w:val="en-GB" w:eastAsia="en-AU"/>
    </w:rPr>
  </w:style>
  <w:style w:type="paragraph" w:styleId="ac">
    <w:name w:val="header"/>
    <w:basedOn w:val="a"/>
    <w:link w:val="ad"/>
    <w:uiPriority w:val="99"/>
    <w:unhideWhenUsed/>
    <w:rsid w:val="00E90F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90FCC"/>
    <w:rPr>
      <w:rFonts w:ascii="Arial" w:eastAsia="Arial" w:hAnsi="Arial" w:cs="Arial"/>
      <w:sz w:val="20"/>
      <w:szCs w:val="20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Yoshinori Sato</cp:lastModifiedBy>
  <cp:revision>21</cp:revision>
  <dcterms:created xsi:type="dcterms:W3CDTF">2024-06-27T07:48:00Z</dcterms:created>
  <dcterms:modified xsi:type="dcterms:W3CDTF">2024-10-11T04:32:00Z</dcterms:modified>
</cp:coreProperties>
</file>