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eastAsia="黑体"/>
          <w:lang w:val="en-US" w:eastAsia="zh-CN"/>
        </w:rPr>
      </w:pPr>
      <w:bookmarkStart w:id="0" w:name="_Ref558439043"/>
      <w:r>
        <w:rPr>
          <w:rFonts w:hint="eastAsia" w:ascii="Times New Roman Bold" w:hAnsi="Times New Roman Bold" w:cs="Times New Roman Bold"/>
          <w:b/>
          <w:bCs/>
          <w:sz w:val="24"/>
          <w:szCs w:val="24"/>
          <w:lang w:val="en-GB" w:eastAsia="zh-CN"/>
        </w:rPr>
        <w:t>Tab</w:t>
      </w:r>
      <w:r>
        <w:rPr>
          <w:rFonts w:hint="eastAsia" w:ascii="Times New Roman Regular" w:hAnsi="Times New Roman Regular" w:cs="Times New Roman Regular"/>
          <w:b/>
          <w:bCs/>
          <w:sz w:val="24"/>
          <w:szCs w:val="24"/>
          <w:lang w:val="en-GB" w:eastAsia="zh-CN"/>
        </w:rPr>
        <w:t>le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GB"/>
        </w:rPr>
        <w:t xml:space="preserve"> </w:t>
      </w:r>
      <w:r>
        <w:rPr>
          <w:rFonts w:hint="eastAsia" w:ascii="Times New Roman Regular" w:hAnsi="Times New Roman Regular" w:cs="Times New Roman Regular"/>
          <w:b/>
          <w:bCs/>
          <w:sz w:val="24"/>
          <w:szCs w:val="24"/>
          <w:lang w:val="en-US" w:eastAsia="zh-CN"/>
        </w:rPr>
        <w:t>S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fldChar w:fldCharType="begin"/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GB"/>
        </w:rPr>
        <w:instrText xml:space="preserve"> SEQ 表 \* ARABIC </w:instrTex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fldChar w:fldCharType="separate"/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GB"/>
        </w:rPr>
        <w:t>2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</w:rPr>
        <w:fldChar w:fldCharType="end"/>
      </w:r>
      <w:r>
        <w:rPr>
          <w:rFonts w:hint="eastAsia" w:ascii="Times New Roman Regular" w:hAnsi="Times New Roman Regular" w:cs="Times New Roman Regular"/>
          <w:b/>
          <w:bCs/>
          <w:sz w:val="24"/>
          <w:szCs w:val="24"/>
          <w:lang w:val="en-GB" w:eastAsia="zh-CN"/>
        </w:rPr>
        <w:t xml:space="preserve"> </w:t>
      </w:r>
      <w:bookmarkEnd w:id="0"/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val="en-GB" w:eastAsia="zh-CN"/>
        </w:rPr>
        <w:t xml:space="preserve">Accuracy </w:t>
      </w:r>
      <w:r>
        <w:rPr>
          <w:rFonts w:hint="default" w:ascii="Times New Roman Bold" w:hAnsi="Times New Roman Bold" w:cs="Times New Roman Bold"/>
          <w:b/>
          <w:bCs/>
          <w:sz w:val="24"/>
          <w:szCs w:val="24"/>
          <w:lang w:val="en-GB" w:eastAsia="zh-CN"/>
        </w:rPr>
        <w:t>rate of initial imaging diagnosis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3"/>
        <w:gridCol w:w="996"/>
        <w:gridCol w:w="1738"/>
        <w:gridCol w:w="1176"/>
      </w:tblGrid>
      <w:tr>
        <w:trPr>
          <w:trHeight w:val="1383" w:hRule="atLeast"/>
          <w:jc w:val="center"/>
        </w:trPr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 xml:space="preserve">Initial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imaging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diagnosis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Normal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=4)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center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LEGH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+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aLEGH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=19)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center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G-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EAC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jc w:val="center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(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n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=11)</w:t>
            </w:r>
          </w:p>
        </w:tc>
      </w:tr>
      <w:tr>
        <w:trPr>
          <w:jc w:val="center"/>
        </w:trPr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Normal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3 (75%)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eastAsia" w:ascii="Times New Roman Regular" w:hAnsi="Times New Roman Regular" w:cs="Times New Roman Regula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CN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0</w:t>
            </w:r>
          </w:p>
        </w:tc>
      </w:tr>
      <w:tr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LEGH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1 (25%)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11 (57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9%)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1 (9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1%)</w:t>
            </w:r>
          </w:p>
        </w:tc>
      </w:tr>
      <w:tr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G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-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EAC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3 (15.8%)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8 (72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7%)</w:t>
            </w:r>
          </w:p>
        </w:tc>
      </w:tr>
      <w:tr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Nonspecific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0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CN"/>
              </w:rPr>
              <w:t>5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CN"/>
              </w:rPr>
              <w:t xml:space="preserve"> (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21.1%)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2 (18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2%)</w:t>
            </w:r>
          </w:p>
        </w:tc>
      </w:tr>
      <w:tr>
        <w:trPr>
          <w:jc w:val="center"/>
        </w:trPr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eastAsia" w:ascii="Times New Roman Regular" w:hAnsi="Times New Roman Regular" w:eastAsia="宋体" w:cs="Times New Roman Regular"/>
                <w:sz w:val="24"/>
                <w:szCs w:val="24"/>
                <w:lang w:val="en-GB" w:eastAsia="zh-CN"/>
              </w:rPr>
              <w:t>C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onsistency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 xml:space="preserve"> rate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75%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57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9%</w:t>
            </w:r>
          </w:p>
        </w:tc>
        <w:tc>
          <w:tcPr>
            <w:tcW w:w="0" w:type="auto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 Regular" w:hAnsi="Times New Roman Regular" w:cs="Times New Roman Regular"/>
                <w:sz w:val="24"/>
                <w:szCs w:val="24"/>
                <w:lang w:val="en-US" w:eastAsia="zh-Hans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72</w:t>
            </w:r>
            <w:r>
              <w:rPr>
                <w:rFonts w:hint="eastAsia" w:ascii="Times New Roman Regular" w:hAnsi="Times New Roman Regular" w:cs="Times New Roman Regular"/>
                <w:sz w:val="24"/>
                <w:szCs w:val="24"/>
                <w:lang w:val="en-GB" w:eastAsia="zh-Hans"/>
              </w:rPr>
              <w:t>.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val="en-GB" w:eastAsia="zh-Hans"/>
              </w:rPr>
              <w:t>7%</w:t>
            </w:r>
          </w:p>
        </w:tc>
      </w:tr>
    </w:tbl>
    <w:p>
      <w:pPr>
        <w:rPr>
          <w:rFonts w:hint="default" w:ascii="Times New Roman Regular" w:hAnsi="Times New Roman Regular" w:cs="Times New Roman Regular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  <w:lang w:val="en-GB" w:eastAsia="zh-CN"/>
        </w:rPr>
        <w:t>LEGH, lobular endocervical glandular hyperplasia; aLEGH, atypical lobular endocervical glandular hyperplasia; G-EAC, gastric-type endocervical adenocarcinoma.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EEF6B"/>
    <w:rsid w:val="7D5EE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GB" w:eastAsia="ja-JP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2023-12-27T11:43:00Z</dcterms:created>
  <dc:creator>姜安绮</dc:creator>
  <cp:lastModifiedBy>姜安绮</cp:lastModifiedBy>
  <dcterms:modified xsi:type="dcterms:W3CDTF">2023-12-27T11:47:59Z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261182BDED2C1B41579D8B65D8495966_41</vt:lpwstr>
  </property>
</Properties>
</file>