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ACFA4" w14:textId="77777777" w:rsidR="00A045D2" w:rsidRPr="00D34A5F" w:rsidRDefault="00A045D2" w:rsidP="00A045D2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D34A5F">
        <w:rPr>
          <w:rFonts w:ascii="Times New Roman" w:hAnsi="Times New Roman" w:cs="Times New Roman"/>
          <w:b/>
          <w:sz w:val="20"/>
          <w:szCs w:val="20"/>
          <w:lang w:val="en-GB"/>
        </w:rPr>
        <w:t xml:space="preserve">Electronic Supplementary Table </w:t>
      </w:r>
      <w:r w:rsidR="009E2B07"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Pr="00D34A5F">
        <w:rPr>
          <w:rFonts w:ascii="Times New Roman" w:hAnsi="Times New Roman" w:cs="Times New Roman"/>
          <w:b/>
          <w:sz w:val="20"/>
          <w:szCs w:val="20"/>
          <w:lang w:val="en-GB"/>
        </w:rPr>
        <w:t>. Generalised linear mixed model with dependent, fixed and random variables, their type and associated levels</w:t>
      </w:r>
    </w:p>
    <w:tbl>
      <w:tblPr>
        <w:tblW w:w="154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9355"/>
      </w:tblGrid>
      <w:tr w:rsidR="00A045D2" w:rsidRPr="00D34A5F" w14:paraId="7A0D4810" w14:textId="77777777" w:rsidTr="00814520">
        <w:trPr>
          <w:trHeight w:hRule="exact" w:val="289"/>
        </w:trPr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CC9555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  <w:t>Name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898DAF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  <w:t>Type</w:t>
            </w:r>
          </w:p>
        </w:tc>
      </w:tr>
      <w:tr w:rsidR="00A045D2" w:rsidRPr="00D34A5F" w14:paraId="50365DE9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9297AE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Dependent variable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D1D072" w14:textId="77777777" w:rsidR="00A045D2" w:rsidRPr="00D34A5F" w:rsidRDefault="00A045D2" w:rsidP="0081452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</w:tr>
      <w:tr w:rsidR="00A045D2" w:rsidRPr="00D34A5F" w14:paraId="2D9415A4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BD8BD6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Gesture characteristic </w:t>
            </w:r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(see Table 2 for the list of the twelve variables considered)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AA6291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Dichotomous or multinomial </w:t>
            </w:r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(Table 2)</w:t>
            </w:r>
          </w:p>
        </w:tc>
      </w:tr>
      <w:tr w:rsidR="00A045D2" w:rsidRPr="00D34A5F" w14:paraId="3E3D40DC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0EFA9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Fixed variables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AF32D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</w:tr>
      <w:tr w:rsidR="00A045D2" w:rsidRPr="00D34A5F" w14:paraId="40C19FDB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E15F5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Signaller's sex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D3046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Dichotomous (Female/Male)</w:t>
            </w:r>
          </w:p>
        </w:tc>
      </w:tr>
      <w:tr w:rsidR="00A045D2" w:rsidRPr="00D34A5F" w14:paraId="30B63D4B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E77C3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Signaller's age class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5609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Ordinal (Infant/Juvenile/Adolescent)</w:t>
            </w:r>
          </w:p>
        </w:tc>
      </w:tr>
      <w:tr w:rsidR="00A045D2" w:rsidRPr="00D34A5F" w14:paraId="0EDDBCBE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A3CF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Recipient's sex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E0A318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Dichotomous (Female/Male)</w:t>
            </w:r>
          </w:p>
        </w:tc>
      </w:tr>
      <w:tr w:rsidR="00A045D2" w:rsidRPr="00D34A5F" w14:paraId="0E267761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E8383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Recipient's age class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282529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Ordinal (Infant/Juvenile/Adolescent /Young adult/Mature adult)</w:t>
            </w:r>
          </w:p>
        </w:tc>
      </w:tr>
      <w:tr w:rsidR="00A045D2" w:rsidRPr="00D34A5F" w14:paraId="5C943F07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E83C6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Zoo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24455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Nominal (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Apenheul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/Burgers)</w:t>
            </w:r>
          </w:p>
        </w:tc>
      </w:tr>
      <w:tr w:rsidR="00A045D2" w:rsidRPr="00F06C0E" w14:paraId="32999190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42DAB1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Kinship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C8867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Nominal (Parent-infant/Siblings/Half-siblings/Unrelated)</w:t>
            </w:r>
          </w:p>
        </w:tc>
      </w:tr>
      <w:tr w:rsidR="00A045D2" w:rsidRPr="00F06C0E" w14:paraId="23F6BC1F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72195A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Signaller's body position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437BF1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Nominal (Lying on belly/Lying on back/Sitting/Standing bipedal/Standing </w:t>
            </w:r>
            <w:proofErr w:type="spellStart"/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tripedal</w:t>
            </w:r>
            <w:proofErr w:type="spellEnd"/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/Climbing/Other body positions)</w:t>
            </w:r>
          </w:p>
        </w:tc>
      </w:tr>
      <w:tr w:rsidR="00A045D2" w:rsidRPr="00F06C0E" w14:paraId="4CDB765B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9BB67F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Signaller's body motion while standing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B4F9AF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Nominal (Walking/Running/No body motion)</w:t>
            </w:r>
          </w:p>
        </w:tc>
      </w:tr>
      <w:tr w:rsidR="00A045D2" w:rsidRPr="00D34A5F" w14:paraId="259034CE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585B5A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Recipient's attentional state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B53A73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Ordinal</w:t>
            </w:r>
            <w:r w:rsidRPr="00D34A5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4A5F">
              <w:rPr>
                <w:rFonts w:ascii="Times New Roman" w:hAnsi="Times New Roman" w:cs="Times New Roman"/>
                <w:sz w:val="18"/>
                <w:szCs w:val="18"/>
              </w:rPr>
              <w:t>Facing</w:t>
            </w:r>
            <w:proofErr w:type="spellEnd"/>
            <w:r w:rsidRPr="00D34A5F">
              <w:rPr>
                <w:rFonts w:ascii="Times New Roman" w:hAnsi="Times New Roman" w:cs="Times New Roman"/>
                <w:sz w:val="18"/>
                <w:szCs w:val="18"/>
              </w:rPr>
              <w:t>/90°/&gt;90°)</w:t>
            </w:r>
          </w:p>
        </w:tc>
      </w:tr>
      <w:tr w:rsidR="00A045D2" w:rsidRPr="00D34A5F" w14:paraId="04A29560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46935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Position of recipient in Signaller’s Visual Field </w:t>
            </w: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(SVF) </w:t>
            </w:r>
            <w:r w:rsidRPr="00D34A5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during interaction</w:t>
            </w: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8E1AB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Dichotomous (Left/Right)</w:t>
            </w:r>
          </w:p>
        </w:tc>
      </w:tr>
      <w:tr w:rsidR="00A045D2" w:rsidRPr="00F06C0E" w14:paraId="12716203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4949A2" w14:textId="77777777" w:rsidR="00A045D2" w:rsidRPr="00D34A5F" w:rsidRDefault="00A045D2" w:rsidP="00814520">
            <w:pPr>
              <w:spacing w:after="0" w:line="48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34A5F">
              <w:rPr>
                <w:rFonts w:ascii="Times New Roman" w:hAnsi="Times New Roman" w:cs="Times New Roman"/>
                <w:sz w:val="18"/>
                <w:szCs w:val="18"/>
              </w:rPr>
              <w:t>Interinvidual</w:t>
            </w:r>
            <w:proofErr w:type="spellEnd"/>
            <w:r w:rsidRPr="00D34A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hAnsi="Times New Roman" w:cs="Times New Roman"/>
                <w:sz w:val="18"/>
                <w:szCs w:val="18"/>
              </w:rPr>
              <w:t>proximity</w:t>
            </w:r>
            <w:proofErr w:type="spellEnd"/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9AA9D0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Ordinal</w:t>
            </w:r>
            <w:r w:rsidRPr="00D34A5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(Body contact/1 arm/2 arms/[1-2m[/[2-5m[/&gt;5m)</w:t>
            </w:r>
          </w:p>
        </w:tc>
      </w:tr>
      <w:tr w:rsidR="00A045D2" w:rsidRPr="00D34A5F" w14:paraId="6306B0E6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C9D194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Random variables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79CEFE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</w:tr>
      <w:tr w:rsidR="00A045D2" w:rsidRPr="00D34A5F" w14:paraId="21C90B02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BD6477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Signaller's identity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C3D4D8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Nominal</w:t>
            </w:r>
          </w:p>
        </w:tc>
      </w:tr>
      <w:tr w:rsidR="00A045D2" w:rsidRPr="00B11AD7" w14:paraId="252FFBBA" w14:textId="77777777" w:rsidTr="00814520">
        <w:trPr>
          <w:trHeight w:val="288"/>
        </w:trPr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8B80978" w14:textId="77777777" w:rsidR="00A045D2" w:rsidRPr="00D34A5F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Recipient's identity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7500DD9" w14:textId="77777777" w:rsidR="00A045D2" w:rsidRPr="00B11AD7" w:rsidRDefault="00A045D2" w:rsidP="00814520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Nominal</w:t>
            </w:r>
          </w:p>
        </w:tc>
      </w:tr>
    </w:tbl>
    <w:p w14:paraId="3CD8C365" w14:textId="77777777" w:rsidR="00A045D2" w:rsidRPr="00B11AD7" w:rsidRDefault="00A045D2" w:rsidP="00A045D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2CCD5B4" w14:textId="77777777" w:rsidR="009E2B07" w:rsidRDefault="009E2B07">
      <w:pPr>
        <w:sectPr w:rsidR="009E2B07" w:rsidSect="003C28F2">
          <w:type w:val="continuous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72F3653" w14:textId="77777777" w:rsidR="009E2B07" w:rsidRPr="00D34A5F" w:rsidRDefault="009E2B07" w:rsidP="009E2B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D34A5F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 xml:space="preserve">Electronic Supplementary Table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2</w:t>
      </w:r>
      <w:r w:rsidRPr="00D34A5F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</w:t>
      </w:r>
      <w:r w:rsidRPr="00D34A5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Mean kappa values and associated level of agreement for each study variable </w:t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6"/>
        <w:gridCol w:w="1276"/>
        <w:gridCol w:w="1701"/>
      </w:tblGrid>
      <w:tr w:rsidR="009E2B07" w:rsidRPr="00D34A5F" w14:paraId="42593E33" w14:textId="77777777" w:rsidTr="00F10F97">
        <w:trPr>
          <w:trHeight w:hRule="exact" w:val="657"/>
        </w:trPr>
        <w:tc>
          <w:tcPr>
            <w:tcW w:w="4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4097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Study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variable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2CB323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Mean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Kappa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11E6E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Level of agreement</w:t>
            </w:r>
          </w:p>
        </w:tc>
      </w:tr>
      <w:tr w:rsidR="009E2B07" w:rsidRPr="00D34A5F" w14:paraId="1E7B67BE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3F501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Signaller's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B1655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4952B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Almost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perfect</w:t>
            </w:r>
            <w:proofErr w:type="spellEnd"/>
          </w:p>
        </w:tc>
      </w:tr>
      <w:tr w:rsidR="009E2B07" w:rsidRPr="00D34A5F" w14:paraId="63EC149A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7A4AF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Recipient's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5C468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CCD47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58166A92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F42D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Gesture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target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52034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57EA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2B07" w:rsidRPr="00D34A5F" w14:paraId="2D82897E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35693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Manual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laterality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D490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8571A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52D1B60A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162CC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Physical contact with the recipient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7CC2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0D0A8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0D2E7D77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184F5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Manuality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6975A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92432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31B2E791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FF5E7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Signaller's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body position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9772E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E1ED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4530D785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A7314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Gesture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type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D9219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A75AA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7CDC3DFF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8DE35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Position of the recipient in the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signaller’s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visual field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18FBE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4227F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39BFFCA7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435401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Interindividual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proximity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A6149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730CD4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73F26958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C7221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Fingers flexion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31F33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0BEBE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Substantial</w:t>
            </w:r>
            <w:proofErr w:type="spellEnd"/>
          </w:p>
        </w:tc>
      </w:tr>
      <w:tr w:rsidR="009E2B07" w:rsidRPr="00D34A5F" w14:paraId="1BD5AF16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04B82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Horizontal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trajectory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D7B7E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74C44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6245FB1D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AA56C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Signaller's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body motion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9168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02CB82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026AADC6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F786A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Thumb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flexion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B59D2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18291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3800D883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94824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Vertical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trajectory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1644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19293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1886DE40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EE708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Main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moving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body part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1DA01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4FF66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714C6C93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8E9D6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Hand position in relation to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signaller's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body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FF6D24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0.692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AD2F9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759997A0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E469B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Recipient's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attentional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state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75DE2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0.653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97C12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01605334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5AD435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Fingers spread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8BAB20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0DB78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E2B07" w:rsidRPr="00D34A5F" w14:paraId="430543AA" w14:textId="77777777" w:rsidTr="00F10F97">
        <w:trPr>
          <w:trHeight w:hRule="exact" w:val="289"/>
        </w:trPr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64A5B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Thumb</w:t>
            </w:r>
            <w:proofErr w:type="spellEnd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spread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37382D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0.527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72E699" w14:textId="77777777" w:rsidR="009E2B07" w:rsidRPr="00D34A5F" w:rsidRDefault="009E2B07" w:rsidP="00D0043F">
            <w:pPr>
              <w:spacing w:after="0" w:line="48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4A5F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  <w:proofErr w:type="spellEnd"/>
          </w:p>
        </w:tc>
      </w:tr>
    </w:tbl>
    <w:p w14:paraId="3C01A08F" w14:textId="77777777" w:rsidR="009E2B07" w:rsidRPr="00D34A5F" w:rsidRDefault="009E2B07" w:rsidP="009E2B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6"/>
          <w:szCs w:val="16"/>
          <w:lang w:val="en-GB"/>
        </w:rPr>
      </w:pPr>
    </w:p>
    <w:p w14:paraId="25795296" w14:textId="79C3F213" w:rsidR="0059285C" w:rsidRDefault="009E2B07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F113D">
        <w:rPr>
          <w:rFonts w:ascii="Times New Roman" w:hAnsi="Times New Roman" w:cs="Times New Roman"/>
          <w:sz w:val="18"/>
          <w:szCs w:val="18"/>
          <w:lang w:val="en-GB"/>
        </w:rPr>
        <w:t xml:space="preserve">Electronic Supplementary Table 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2 </w:t>
      </w:r>
      <w:r w:rsidRPr="003F113D">
        <w:rPr>
          <w:rFonts w:ascii="Times New Roman" w:hAnsi="Times New Roman" w:cs="Times New Roman"/>
          <w:sz w:val="18"/>
          <w:szCs w:val="18"/>
          <w:lang w:val="en-GB"/>
        </w:rPr>
        <w:t xml:space="preserve">shows the </w:t>
      </w:r>
      <w:r w:rsidRPr="003F113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mean kappa values and associated level of agreement </w:t>
      </w:r>
      <w:r w:rsidR="00F06C0E">
        <w:rPr>
          <w:rFonts w:ascii="Times New Roman" w:eastAsia="Times New Roman" w:hAnsi="Times New Roman" w:cs="Times New Roman"/>
          <w:sz w:val="18"/>
          <w:szCs w:val="18"/>
          <w:lang w:val="en-US"/>
        </w:rPr>
        <w:t>[1]</w:t>
      </w:r>
      <w:r w:rsidRPr="003F113D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Pr="003F113D">
        <w:rPr>
          <w:rFonts w:ascii="Times New Roman" w:hAnsi="Times New Roman" w:cs="Times New Roman"/>
          <w:bCs/>
          <w:sz w:val="18"/>
          <w:szCs w:val="18"/>
          <w:lang w:val="en-US"/>
        </w:rPr>
        <w:t>for each of the 20 variables considered in the present study</w:t>
      </w:r>
      <w:r w:rsidRPr="003F113D">
        <w:rPr>
          <w:rFonts w:ascii="Times New Roman" w:hAnsi="Times New Roman" w:cs="Times New Roman"/>
          <w:sz w:val="18"/>
          <w:szCs w:val="18"/>
          <w:lang w:val="en-GB"/>
        </w:rPr>
        <w:t xml:space="preserve">. </w:t>
      </w:r>
      <w:r w:rsidRPr="003F113D">
        <w:rPr>
          <w:rFonts w:ascii="Times New Roman" w:eastAsiaTheme="minorHAnsi" w:hAnsi="Times New Roman" w:cs="Times New Roman"/>
          <w:sz w:val="18"/>
          <w:szCs w:val="18"/>
          <w:lang w:val="en-US" w:eastAsia="en-US"/>
        </w:rPr>
        <w:t xml:space="preserve">Study variables are presented according to decreasing Mean Kappa values. </w:t>
      </w:r>
      <w:r w:rsidRPr="003F113D">
        <w:rPr>
          <w:rFonts w:ascii="Times New Roman" w:hAnsi="Times New Roman" w:cs="Times New Roman"/>
          <w:bCs/>
          <w:sz w:val="18"/>
          <w:szCs w:val="18"/>
          <w:lang w:val="en-US"/>
        </w:rPr>
        <w:t>Mean Kappa: Mean Kappa values between C.H. and each of the three other observers (</w:t>
      </w:r>
      <w:r w:rsidRPr="003F113D">
        <w:rPr>
          <w:rFonts w:ascii="Times New Roman" w:eastAsia="AdvOT863180fb" w:hAnsi="Times New Roman" w:cs="Times New Roman"/>
          <w:sz w:val="18"/>
          <w:szCs w:val="18"/>
          <w:lang w:val="en-US" w:eastAsia="en-US"/>
        </w:rPr>
        <w:t>J.P., S.W. and T.F.-M</w:t>
      </w:r>
      <w:r w:rsidRPr="00C715B0">
        <w:rPr>
          <w:rFonts w:ascii="Times New Roman" w:eastAsia="AdvOT863180fb" w:hAnsi="Times New Roman" w:cs="Times New Roman"/>
          <w:sz w:val="18"/>
          <w:szCs w:val="18"/>
          <w:lang w:val="en-US" w:eastAsia="en-US"/>
        </w:rPr>
        <w:t>.)</w:t>
      </w:r>
      <w:r w:rsidRPr="00C715B0">
        <w:rPr>
          <w:rFonts w:ascii="Times New Roman" w:hAnsi="Times New Roman" w:cs="Times New Roman"/>
          <w:bCs/>
          <w:sz w:val="18"/>
          <w:szCs w:val="18"/>
          <w:lang w:val="en-US"/>
        </w:rPr>
        <w:t>.</w:t>
      </w:r>
      <w:r w:rsidR="00DC7906" w:rsidRPr="00C715B0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 xml:space="preserve">As mentioned by several authors, despite high raw agreement between observers, a relatively low </w:t>
      </w:r>
      <w:r w:rsidR="008353F5" w:rsidRPr="00C715B0">
        <w:rPr>
          <w:rFonts w:ascii="Times New Roman" w:hAnsi="Times New Roman" w:cs="Times New Roman"/>
          <w:sz w:val="18"/>
          <w:szCs w:val="18"/>
        </w:rPr>
        <w:t>κ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 xml:space="preserve"> value can be an artefact due to low prevalence of a particular parameter </w:t>
      </w:r>
      <w:r w:rsidR="00F06C0E">
        <w:rPr>
          <w:rFonts w:ascii="Times New Roman" w:hAnsi="Times New Roman" w:cs="Times New Roman"/>
          <w:sz w:val="18"/>
          <w:szCs w:val="18"/>
          <w:lang w:val="en-US"/>
        </w:rPr>
        <w:t>[e.g. 2-5]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>. This is for instance the case for the variable “Fingers spread” (including three modalities: spread outward; half-spread; bonded) which had a high mean level of agreement (77.78%) and a mean Kappa value (</w:t>
      </w:r>
      <w:r w:rsidR="008353F5" w:rsidRPr="00C715B0">
        <w:rPr>
          <w:rFonts w:ascii="Times New Roman" w:hAnsi="Times New Roman" w:cs="Times New Roman"/>
          <w:sz w:val="18"/>
          <w:szCs w:val="18"/>
        </w:rPr>
        <w:t>κ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 xml:space="preserve">) equals to 0.63 because “fingers </w:t>
      </w:r>
      <w:r w:rsidR="008353F5" w:rsidRPr="00C715B0">
        <w:rPr>
          <w:rFonts w:ascii="Times New Roman" w:hAnsi="Times New Roman" w:cs="Times New Roman"/>
          <w:sz w:val="18"/>
          <w:szCs w:val="18"/>
          <w:lang w:val="en-GB"/>
        </w:rPr>
        <w:t>spread outward”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 xml:space="preserve"> were rare: only 9 of the 662 recorded gestures were characterized as “fingers spread outward”. </w:t>
      </w:r>
      <w:r w:rsidR="008353F5" w:rsidRPr="00C715B0">
        <w:rPr>
          <w:rFonts w:ascii="Times New Roman" w:hAnsi="Times New Roman" w:cs="Times New Roman"/>
          <w:bCs/>
          <w:sz w:val="18"/>
          <w:szCs w:val="18"/>
          <w:lang w:val="en-US"/>
        </w:rPr>
        <w:t>We did not use “Thumb spread” for subsequent statistical analysis because it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 xml:space="preserve"> had a moderate mean level of agreement (58.60%) and a moderate mean Kappa value (</w:t>
      </w:r>
      <w:r w:rsidR="008353F5" w:rsidRPr="00C715B0">
        <w:rPr>
          <w:rFonts w:ascii="Times New Roman" w:hAnsi="Times New Roman" w:cs="Times New Roman"/>
          <w:sz w:val="18"/>
          <w:szCs w:val="18"/>
        </w:rPr>
        <w:t>κ</w:t>
      </w:r>
      <w:r w:rsidR="008353F5" w:rsidRPr="00C715B0">
        <w:rPr>
          <w:rFonts w:ascii="Times New Roman" w:hAnsi="Times New Roman" w:cs="Times New Roman"/>
          <w:sz w:val="18"/>
          <w:szCs w:val="18"/>
          <w:lang w:val="en-US"/>
        </w:rPr>
        <w:t xml:space="preserve"> = 0.527).</w:t>
      </w:r>
    </w:p>
    <w:p w14:paraId="418ABC7C" w14:textId="77777777" w:rsidR="00F06C0E" w:rsidRDefault="00F06C0E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F9E0EF4" w14:textId="77777777" w:rsidR="00F06C0E" w:rsidRDefault="00F06C0E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A657C03" w14:textId="77777777" w:rsidR="00F06C0E" w:rsidRDefault="00F06C0E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727BEEC" w14:textId="77777777" w:rsidR="00F06C0E" w:rsidRDefault="00F06C0E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08965D4" w14:textId="77777777" w:rsidR="00F06C0E" w:rsidRDefault="00F06C0E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11243E81" w14:textId="77777777" w:rsidR="00F06C0E" w:rsidRDefault="00F06C0E" w:rsidP="00F06C0E">
      <w:pPr>
        <w:autoSpaceDE w:val="0"/>
        <w:autoSpaceDN w:val="0"/>
        <w:adjustRightInd w:val="0"/>
        <w:spacing w:after="0" w:line="48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72E820F" w14:textId="1CE4D0A0" w:rsidR="00F06C0E" w:rsidRPr="00F06C0E" w:rsidRDefault="00F06C0E" w:rsidP="00F06C0E">
      <w:pPr>
        <w:autoSpaceDE w:val="0"/>
        <w:autoSpaceDN w:val="0"/>
        <w:adjustRightInd w:val="0"/>
        <w:spacing w:after="0" w:line="480" w:lineRule="auto"/>
        <w:ind w:left="-426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06C0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References:</w:t>
      </w:r>
    </w:p>
    <w:p w14:paraId="583CC46D" w14:textId="542BC0F4" w:rsidR="00F06C0E" w:rsidRPr="00F06C0E" w:rsidRDefault="00F06C0E" w:rsidP="00F06C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F06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Landis, J. R., &amp; Koch, G. G. (1977). </w:t>
      </w:r>
      <w:r w:rsidRPr="00F06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 application of hierarchical kappa-type statistics in the assessment of majority agreement among multiple observers. </w:t>
      </w:r>
      <w:r w:rsidRPr="00F06C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Biometrics</w:t>
      </w:r>
      <w:r w:rsidRPr="00F06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363-374.</w:t>
      </w:r>
    </w:p>
    <w:p w14:paraId="584665D7" w14:textId="09D2BCB3" w:rsidR="00F06C0E" w:rsidRPr="00F06C0E" w:rsidRDefault="00F06C0E" w:rsidP="00F06C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F06C0E">
        <w:rPr>
          <w:rFonts w:ascii="Times New Roman" w:hAnsi="Times New Roman" w:cs="Times New Roman"/>
          <w:sz w:val="24"/>
          <w:szCs w:val="24"/>
        </w:rPr>
        <w:t>Cicchetti</w:t>
      </w:r>
      <w:proofErr w:type="spellEnd"/>
      <w:r w:rsidRPr="00F06C0E">
        <w:rPr>
          <w:rFonts w:ascii="Times New Roman" w:hAnsi="Times New Roman" w:cs="Times New Roman"/>
          <w:sz w:val="24"/>
          <w:szCs w:val="24"/>
        </w:rPr>
        <w:t xml:space="preserve">, D. V., &amp; </w:t>
      </w:r>
      <w:proofErr w:type="spellStart"/>
      <w:r w:rsidRPr="00F06C0E">
        <w:rPr>
          <w:rFonts w:ascii="Times New Roman" w:hAnsi="Times New Roman" w:cs="Times New Roman"/>
          <w:sz w:val="24"/>
          <w:szCs w:val="24"/>
        </w:rPr>
        <w:t>Feinstein</w:t>
      </w:r>
      <w:proofErr w:type="spellEnd"/>
      <w:r w:rsidRPr="00F06C0E">
        <w:rPr>
          <w:rFonts w:ascii="Times New Roman" w:hAnsi="Times New Roman" w:cs="Times New Roman"/>
          <w:sz w:val="24"/>
          <w:szCs w:val="24"/>
        </w:rPr>
        <w:t xml:space="preserve">, A. R. (1990). 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High agreement but low kappa: II. Resolving the paradoxes. </w:t>
      </w:r>
      <w:r w:rsidRPr="00F06C0E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clinical epidemiology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06C0E">
        <w:rPr>
          <w:rFonts w:ascii="Times New Roman" w:hAnsi="Times New Roman" w:cs="Times New Roman"/>
          <w:i/>
          <w:iCs/>
          <w:sz w:val="24"/>
          <w:szCs w:val="24"/>
          <w:lang w:val="en-US"/>
        </w:rPr>
        <w:t>43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>(6), 551-558.</w:t>
      </w:r>
    </w:p>
    <w:p w14:paraId="1FBDD8D3" w14:textId="0BD797F3" w:rsidR="00F06C0E" w:rsidRPr="00F06C0E" w:rsidRDefault="00F06C0E" w:rsidP="00F06C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F06C0E">
        <w:rPr>
          <w:rFonts w:ascii="Times New Roman" w:hAnsi="Times New Roman" w:cs="Times New Roman"/>
          <w:sz w:val="24"/>
          <w:szCs w:val="24"/>
        </w:rPr>
        <w:t>Feinstein</w:t>
      </w:r>
      <w:proofErr w:type="spellEnd"/>
      <w:r w:rsidRPr="00F06C0E">
        <w:rPr>
          <w:rFonts w:ascii="Times New Roman" w:hAnsi="Times New Roman" w:cs="Times New Roman"/>
          <w:sz w:val="24"/>
          <w:szCs w:val="24"/>
        </w:rPr>
        <w:t xml:space="preserve">, A. R., &amp; </w:t>
      </w:r>
      <w:proofErr w:type="spellStart"/>
      <w:r w:rsidRPr="00F06C0E">
        <w:rPr>
          <w:rFonts w:ascii="Times New Roman" w:hAnsi="Times New Roman" w:cs="Times New Roman"/>
          <w:sz w:val="24"/>
          <w:szCs w:val="24"/>
        </w:rPr>
        <w:t>Cicchetti</w:t>
      </w:r>
      <w:proofErr w:type="spellEnd"/>
      <w:r w:rsidRPr="00F06C0E">
        <w:rPr>
          <w:rFonts w:ascii="Times New Roman" w:hAnsi="Times New Roman" w:cs="Times New Roman"/>
          <w:sz w:val="24"/>
          <w:szCs w:val="24"/>
        </w:rPr>
        <w:t xml:space="preserve">, D. V. (1990). 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High agreement but low kappa: I. The problems of two paradoxes. </w:t>
      </w:r>
      <w:r w:rsidRPr="00F06C0E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clinical epidemiology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06C0E">
        <w:rPr>
          <w:rFonts w:ascii="Times New Roman" w:hAnsi="Times New Roman" w:cs="Times New Roman"/>
          <w:i/>
          <w:iCs/>
          <w:sz w:val="24"/>
          <w:szCs w:val="24"/>
          <w:lang w:val="en-US"/>
        </w:rPr>
        <w:t>43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>(6), 543-549.</w:t>
      </w:r>
    </w:p>
    <w:p w14:paraId="0146929F" w14:textId="72D745B3" w:rsidR="00F06C0E" w:rsidRPr="00F06C0E" w:rsidRDefault="00F06C0E" w:rsidP="00F06C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Yen, K., </w:t>
      </w:r>
      <w:proofErr w:type="spellStart"/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Kuppermann</w:t>
      </w:r>
      <w:proofErr w:type="spellEnd"/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, N., Lillis, K., Monroe, D., </w:t>
      </w:r>
      <w:proofErr w:type="spellStart"/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Borgialli</w:t>
      </w:r>
      <w:proofErr w:type="spellEnd"/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, D., Kerrey, B. </w:t>
      </w:r>
      <w:proofErr w:type="gramStart"/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T.,…</w:t>
      </w:r>
      <w:proofErr w:type="gramEnd"/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Intra-abdominal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Injury study group for the Pediatric Emergency Care applied research Network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(PECARN). (2013). Interobserver agreement in the clinical assessment of children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06C0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with blunt abdominal trauma. Academic Emergency Medicine, 20(5), 426–432.</w:t>
      </w:r>
    </w:p>
    <w:p w14:paraId="05FA30CE" w14:textId="071CC062" w:rsidR="00F06C0E" w:rsidRPr="00F06C0E" w:rsidRDefault="00F06C0E" w:rsidP="00F06C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06C0E">
        <w:rPr>
          <w:rFonts w:ascii="Times New Roman" w:hAnsi="Times New Roman" w:cs="Times New Roman"/>
          <w:sz w:val="24"/>
          <w:szCs w:val="24"/>
        </w:rPr>
        <w:t xml:space="preserve">Prieur, J., Le Du, G., </w:t>
      </w:r>
      <w:proofErr w:type="spellStart"/>
      <w:r w:rsidRPr="00F06C0E">
        <w:rPr>
          <w:rFonts w:ascii="Times New Roman" w:hAnsi="Times New Roman" w:cs="Times New Roman"/>
          <w:sz w:val="24"/>
          <w:szCs w:val="24"/>
        </w:rPr>
        <w:t>Stomp</w:t>
      </w:r>
      <w:proofErr w:type="spellEnd"/>
      <w:r w:rsidRPr="00F06C0E">
        <w:rPr>
          <w:rFonts w:ascii="Times New Roman" w:hAnsi="Times New Roman" w:cs="Times New Roman"/>
          <w:sz w:val="24"/>
          <w:szCs w:val="24"/>
        </w:rPr>
        <w:t>, M., Barbu, S., &amp; Blois-</w:t>
      </w:r>
      <w:proofErr w:type="spellStart"/>
      <w:r w:rsidRPr="00F06C0E">
        <w:rPr>
          <w:rFonts w:ascii="Times New Roman" w:hAnsi="Times New Roman" w:cs="Times New Roman"/>
          <w:sz w:val="24"/>
          <w:szCs w:val="24"/>
        </w:rPr>
        <w:t>Heulin</w:t>
      </w:r>
      <w:proofErr w:type="spellEnd"/>
      <w:r w:rsidRPr="00F06C0E">
        <w:rPr>
          <w:rFonts w:ascii="Times New Roman" w:hAnsi="Times New Roman" w:cs="Times New Roman"/>
          <w:sz w:val="24"/>
          <w:szCs w:val="24"/>
        </w:rPr>
        <w:t xml:space="preserve">, C. (2020). </w:t>
      </w:r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Human laterality for manipulation and gestural communication: a study of beach-volleyball players during the Olympic Games. Laterality: Asymmetries of body, </w:t>
      </w:r>
      <w:proofErr w:type="gramStart"/>
      <w:r w:rsidRPr="00F06C0E">
        <w:rPr>
          <w:rFonts w:ascii="Times New Roman" w:hAnsi="Times New Roman" w:cs="Times New Roman"/>
          <w:sz w:val="24"/>
          <w:szCs w:val="24"/>
          <w:lang w:val="en-US"/>
        </w:rPr>
        <w:t>Brain</w:t>
      </w:r>
      <w:proofErr w:type="gramEnd"/>
      <w:r w:rsidRPr="00F06C0E">
        <w:rPr>
          <w:rFonts w:ascii="Times New Roman" w:hAnsi="Times New Roman" w:cs="Times New Roman"/>
          <w:sz w:val="24"/>
          <w:szCs w:val="24"/>
          <w:lang w:val="en-US"/>
        </w:rPr>
        <w:t xml:space="preserve"> and Cognition, 25(2), 229-254.</w:t>
      </w:r>
    </w:p>
    <w:p w14:paraId="13A39790" w14:textId="77777777" w:rsidR="00F06C0E" w:rsidRPr="00E94CD8" w:rsidRDefault="00F06C0E" w:rsidP="00F06C0E">
      <w:pPr>
        <w:autoSpaceDE w:val="0"/>
        <w:autoSpaceDN w:val="0"/>
        <w:adjustRightInd w:val="0"/>
        <w:spacing w:line="480" w:lineRule="auto"/>
        <w:ind w:left="284" w:hanging="284"/>
        <w:jc w:val="both"/>
        <w:rPr>
          <w:lang w:val="en-US"/>
        </w:rPr>
      </w:pPr>
    </w:p>
    <w:p w14:paraId="03377315" w14:textId="77777777" w:rsidR="00F06C0E" w:rsidRDefault="00F06C0E" w:rsidP="00F06C0E">
      <w:pPr>
        <w:autoSpaceDE w:val="0"/>
        <w:autoSpaceDN w:val="0"/>
        <w:adjustRightInd w:val="0"/>
        <w:spacing w:line="480" w:lineRule="auto"/>
        <w:ind w:left="284" w:hanging="284"/>
        <w:jc w:val="both"/>
        <w:rPr>
          <w:shd w:val="clear" w:color="auto" w:fill="FFFFFF"/>
          <w:lang w:val="en-US"/>
        </w:rPr>
      </w:pPr>
    </w:p>
    <w:p w14:paraId="456F3A08" w14:textId="77777777" w:rsidR="00F06C0E" w:rsidRPr="00C715B0" w:rsidRDefault="00F06C0E" w:rsidP="00DC790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sz w:val="18"/>
          <w:szCs w:val="18"/>
          <w:lang w:val="en-US"/>
        </w:rPr>
      </w:pPr>
    </w:p>
    <w:sectPr w:rsidR="00F06C0E" w:rsidRPr="00C715B0" w:rsidSect="003C28F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863180fb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9575AB"/>
    <w:multiLevelType w:val="hybridMultilevel"/>
    <w:tmpl w:val="D96CAB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70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45D2"/>
    <w:rsid w:val="0006515F"/>
    <w:rsid w:val="000C75EF"/>
    <w:rsid w:val="003C28F2"/>
    <w:rsid w:val="003D0295"/>
    <w:rsid w:val="00415667"/>
    <w:rsid w:val="00572888"/>
    <w:rsid w:val="0059285C"/>
    <w:rsid w:val="00710B91"/>
    <w:rsid w:val="008353F5"/>
    <w:rsid w:val="009425FA"/>
    <w:rsid w:val="009E2B07"/>
    <w:rsid w:val="00A045D2"/>
    <w:rsid w:val="00B109E4"/>
    <w:rsid w:val="00B41C56"/>
    <w:rsid w:val="00C63DD4"/>
    <w:rsid w:val="00C715B0"/>
    <w:rsid w:val="00DB4365"/>
    <w:rsid w:val="00DC7906"/>
    <w:rsid w:val="00E83ED6"/>
    <w:rsid w:val="00F06C0E"/>
    <w:rsid w:val="00F1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692A"/>
  <w15:docId w15:val="{1138BA47-5B01-4AE7-8BF5-76A83B94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5D2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045D2"/>
  </w:style>
  <w:style w:type="paragraph" w:styleId="BalloonText">
    <w:name w:val="Balloon Text"/>
    <w:basedOn w:val="Normal"/>
    <w:link w:val="BalloonTextChar"/>
    <w:uiPriority w:val="99"/>
    <w:semiHidden/>
    <w:unhideWhenUsed/>
    <w:rsid w:val="009E2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B07"/>
    <w:rPr>
      <w:rFonts w:ascii="Segoe UI" w:eastAsiaTheme="minorEastAsia" w:hAnsi="Segoe UI" w:cs="Segoe UI"/>
      <w:sz w:val="18"/>
      <w:szCs w:val="18"/>
      <w:lang w:eastAsia="fr-FR"/>
    </w:rPr>
  </w:style>
  <w:style w:type="paragraph" w:styleId="Revision">
    <w:name w:val="Revision"/>
    <w:hidden/>
    <w:uiPriority w:val="99"/>
    <w:semiHidden/>
    <w:rsid w:val="00F06C0E"/>
    <w:pPr>
      <w:spacing w:after="0" w:line="240" w:lineRule="auto"/>
    </w:pPr>
    <w:rPr>
      <w:rFonts w:eastAsiaTheme="minorEastAsia"/>
      <w:lang w:eastAsia="fr-FR"/>
    </w:rPr>
  </w:style>
  <w:style w:type="paragraph" w:styleId="ListParagraph">
    <w:name w:val="List Paragraph"/>
    <w:basedOn w:val="Normal"/>
    <w:uiPriority w:val="34"/>
    <w:qFormat/>
    <w:rsid w:val="00F0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636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</dc:creator>
  <cp:lastModifiedBy>Jacques Prieur</cp:lastModifiedBy>
  <cp:revision>14</cp:revision>
  <dcterms:created xsi:type="dcterms:W3CDTF">2022-08-26T10:04:00Z</dcterms:created>
  <dcterms:modified xsi:type="dcterms:W3CDTF">2024-05-17T14:58:00Z</dcterms:modified>
</cp:coreProperties>
</file>