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998A6" w14:textId="77777777" w:rsidR="008D5897" w:rsidRPr="00E236CB" w:rsidRDefault="008D5897" w:rsidP="00E236CB">
      <w:pPr>
        <w:widowControl/>
        <w:wordWrap/>
        <w:autoSpaceDE/>
        <w:autoSpaceDN/>
        <w:rPr>
          <w:rFonts w:ascii="Arial" w:hAnsi="Arial" w:cs="Arial"/>
          <w:color w:val="000000" w:themeColor="text1"/>
          <w:sz w:val="22"/>
          <w:lang w:bidi="en-US"/>
        </w:rPr>
      </w:pPr>
      <w:r w:rsidRPr="00E236CB">
        <w:rPr>
          <w:rFonts w:ascii="Arial" w:hAnsi="Arial" w:cs="Arial"/>
          <w:b/>
          <w:bCs/>
          <w:noProof/>
          <w:color w:val="000000" w:themeColor="text1"/>
          <w:sz w:val="22"/>
        </w:rPr>
        <w:drawing>
          <wp:inline distT="0" distB="0" distL="0" distR="0" wp14:anchorId="28CE3331" wp14:editId="098EB7BF">
            <wp:extent cx="5097780" cy="2392680"/>
            <wp:effectExtent l="0" t="0" r="0" b="7620"/>
            <wp:docPr id="10" name="그림 10" descr="보라색, 마젠타, 라일락, 바이올렛색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그림 10" descr="보라색, 마젠타, 라일락, 바이올렛색이(가) 표시된 사진&#10;&#10;자동 생성된 설명"/>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97780" cy="2392680"/>
                    </a:xfrm>
                    <a:prstGeom prst="rect">
                      <a:avLst/>
                    </a:prstGeom>
                    <a:noFill/>
                    <a:ln>
                      <a:noFill/>
                    </a:ln>
                  </pic:spPr>
                </pic:pic>
              </a:graphicData>
            </a:graphic>
          </wp:inline>
        </w:drawing>
      </w:r>
    </w:p>
    <w:p w14:paraId="5C71BA8C" w14:textId="77777777" w:rsidR="008D5897" w:rsidRPr="00E236CB" w:rsidRDefault="008D5897" w:rsidP="008D5897">
      <w:pPr>
        <w:spacing w:line="480" w:lineRule="auto"/>
        <w:jc w:val="left"/>
        <w:rPr>
          <w:rFonts w:ascii="Arial" w:hAnsi="Arial" w:cs="Arial"/>
          <w:color w:val="000000" w:themeColor="text1"/>
          <w:sz w:val="22"/>
          <w:lang w:bidi="en-US"/>
        </w:rPr>
      </w:pPr>
      <w:r w:rsidRPr="00E236CB">
        <w:rPr>
          <w:rFonts w:ascii="Arial" w:hAnsi="Arial" w:cs="Arial"/>
          <w:color w:val="000000" w:themeColor="text1"/>
          <w:sz w:val="22"/>
          <w:lang w:bidi="en-US"/>
        </w:rPr>
        <w:t>Supplementary Figure S1. Representative photomicrographs of retinal and scleral sections stained with H&amp;E in normal and form-deprivation myopia (FDM) eyes.</w:t>
      </w:r>
    </w:p>
    <w:p w14:paraId="120E6714" w14:textId="77777777" w:rsidR="008D5897" w:rsidRPr="00E236CB" w:rsidRDefault="008D5897" w:rsidP="008D5897">
      <w:pPr>
        <w:widowControl/>
        <w:wordWrap/>
        <w:autoSpaceDE/>
        <w:autoSpaceDN/>
        <w:rPr>
          <w:rFonts w:ascii="Arial" w:hAnsi="Arial" w:cs="Arial"/>
          <w:color w:val="000000" w:themeColor="text1"/>
          <w:sz w:val="22"/>
          <w:lang w:bidi="en-US"/>
        </w:rPr>
      </w:pPr>
      <w:r w:rsidRPr="00E236CB">
        <w:rPr>
          <w:rFonts w:ascii="Arial" w:hAnsi="Arial" w:cs="Arial"/>
          <w:color w:val="000000" w:themeColor="text1"/>
          <w:sz w:val="22"/>
          <w:lang w:bidi="en-US"/>
        </w:rPr>
        <w:br w:type="page"/>
      </w:r>
    </w:p>
    <w:p w14:paraId="4D95290E" w14:textId="77777777" w:rsidR="008D5897" w:rsidRPr="00E236CB" w:rsidRDefault="008D5897" w:rsidP="008D5897">
      <w:pPr>
        <w:spacing w:line="480" w:lineRule="auto"/>
        <w:jc w:val="center"/>
        <w:rPr>
          <w:rFonts w:ascii="Arial" w:hAnsi="Arial" w:cs="Arial"/>
          <w:color w:val="000000" w:themeColor="text1"/>
          <w:sz w:val="22"/>
          <w:lang w:bidi="en-US"/>
        </w:rPr>
      </w:pPr>
      <w:r w:rsidRPr="00E236CB">
        <w:rPr>
          <w:rFonts w:ascii="Arial" w:hAnsi="Arial" w:cs="Arial" w:hint="eastAsia"/>
          <w:noProof/>
          <w:color w:val="000000" w:themeColor="text1"/>
          <w:sz w:val="22"/>
        </w:rPr>
        <w:lastRenderedPageBreak/>
        <w:drawing>
          <wp:inline distT="0" distB="0" distL="0" distR="0" wp14:anchorId="432BBECD" wp14:editId="0043A2F5">
            <wp:extent cx="5715000" cy="3977640"/>
            <wp:effectExtent l="0" t="0" r="0" b="3810"/>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0" cy="3977640"/>
                    </a:xfrm>
                    <a:prstGeom prst="rect">
                      <a:avLst/>
                    </a:prstGeom>
                    <a:noFill/>
                    <a:ln>
                      <a:noFill/>
                    </a:ln>
                  </pic:spPr>
                </pic:pic>
              </a:graphicData>
            </a:graphic>
          </wp:inline>
        </w:drawing>
      </w:r>
    </w:p>
    <w:p w14:paraId="6E54E02A" w14:textId="77777777" w:rsidR="008D5897" w:rsidRPr="00E236CB" w:rsidRDefault="008D5897" w:rsidP="008D5897">
      <w:pPr>
        <w:spacing w:line="480" w:lineRule="auto"/>
        <w:rPr>
          <w:rFonts w:ascii="Arial" w:hAnsi="Arial" w:cs="Arial"/>
          <w:color w:val="000000" w:themeColor="text1"/>
          <w:sz w:val="22"/>
          <w:lang w:bidi="en-US"/>
        </w:rPr>
      </w:pPr>
      <w:r w:rsidRPr="00E236CB">
        <w:rPr>
          <w:rFonts w:ascii="Arial" w:hAnsi="Arial" w:cs="Arial"/>
          <w:color w:val="000000" w:themeColor="text1"/>
          <w:sz w:val="22"/>
          <w:lang w:bidi="en-US"/>
        </w:rPr>
        <w:t>Supplementary Figure S2. Detailed regional protein-protein interaction (PPI) networks in CD29-positive Müller cells. This figure further explores the PPI networks specific to the central and peripheral regions of the retina, showing consistent patterns with those observed in the comprehensive analysis (Figure 5c).</w:t>
      </w:r>
    </w:p>
    <w:p w14:paraId="4928A28B" w14:textId="77777777" w:rsidR="008D5897" w:rsidRPr="00E236CB" w:rsidRDefault="008D5897" w:rsidP="008D5897">
      <w:pPr>
        <w:widowControl/>
        <w:wordWrap/>
        <w:autoSpaceDE/>
        <w:autoSpaceDN/>
        <w:jc w:val="left"/>
        <w:rPr>
          <w:rFonts w:ascii="Arial" w:hAnsi="Arial" w:cs="Arial"/>
          <w:color w:val="000000" w:themeColor="text1"/>
          <w:sz w:val="22"/>
          <w:lang w:bidi="en-US"/>
        </w:rPr>
      </w:pPr>
      <w:r w:rsidRPr="00E236CB">
        <w:rPr>
          <w:rFonts w:ascii="Arial" w:hAnsi="Arial" w:cs="Arial"/>
          <w:color w:val="000000" w:themeColor="text1"/>
          <w:sz w:val="22"/>
          <w:lang w:bidi="en-US"/>
        </w:rPr>
        <w:br w:type="page"/>
      </w:r>
    </w:p>
    <w:p w14:paraId="36F08EEE" w14:textId="77777777" w:rsidR="008D5897" w:rsidRPr="00E236CB" w:rsidRDefault="008D5897" w:rsidP="008D5897">
      <w:pPr>
        <w:spacing w:line="480" w:lineRule="auto"/>
        <w:jc w:val="center"/>
        <w:rPr>
          <w:rFonts w:ascii="Arial" w:hAnsi="Arial" w:cs="Arial"/>
          <w:color w:val="000000" w:themeColor="text1"/>
          <w:sz w:val="22"/>
          <w:lang w:bidi="en-US"/>
        </w:rPr>
      </w:pPr>
      <w:r w:rsidRPr="00E236CB">
        <w:rPr>
          <w:rFonts w:ascii="Arial" w:hAnsi="Arial" w:cs="Arial" w:hint="eastAsia"/>
          <w:noProof/>
          <w:color w:val="000000" w:themeColor="text1"/>
          <w:sz w:val="22"/>
        </w:rPr>
        <w:lastRenderedPageBreak/>
        <w:drawing>
          <wp:inline distT="0" distB="0" distL="0" distR="0" wp14:anchorId="3DCF345F" wp14:editId="5118F029">
            <wp:extent cx="5730240" cy="2042160"/>
            <wp:effectExtent l="0" t="0" r="3810" b="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0240" cy="2042160"/>
                    </a:xfrm>
                    <a:prstGeom prst="rect">
                      <a:avLst/>
                    </a:prstGeom>
                    <a:noFill/>
                    <a:ln>
                      <a:noFill/>
                    </a:ln>
                  </pic:spPr>
                </pic:pic>
              </a:graphicData>
            </a:graphic>
          </wp:inline>
        </w:drawing>
      </w:r>
    </w:p>
    <w:p w14:paraId="45A81189" w14:textId="77777777" w:rsidR="008D5897" w:rsidRPr="00E236CB" w:rsidRDefault="008D5897" w:rsidP="008D5897">
      <w:pPr>
        <w:spacing w:line="480" w:lineRule="auto"/>
        <w:jc w:val="left"/>
        <w:rPr>
          <w:rFonts w:ascii="Arial" w:hAnsi="Arial" w:cs="Arial"/>
          <w:color w:val="000000" w:themeColor="text1"/>
          <w:sz w:val="22"/>
          <w:lang w:bidi="en-US"/>
        </w:rPr>
      </w:pPr>
      <w:r w:rsidRPr="00E236CB">
        <w:rPr>
          <w:rFonts w:ascii="Arial" w:hAnsi="Arial" w:cs="Arial"/>
          <w:color w:val="000000" w:themeColor="text1"/>
          <w:sz w:val="22"/>
          <w:lang w:bidi="en-US"/>
        </w:rPr>
        <w:t>Supplementary Figure S3. Validation of PKM and LDHA mRNA expression levels using qPCR in central and peripheral retina tissues. Quantitative PCR (qPCR) analysis was performed to validate the expression levels of PKM and LDHA in both central and peripheral retina tissues from myopic and control rabbit eyes. The relative expression levels were normalized to GAPDH as an internal control. (a) PKM mRNA levels were found to be significantly reduced in both the central and peripheral retina of myopic eyes compared to controls. (b) LDHA mRNA levels showed a significant reduction in the peripheral retina of myopic eyes compared to controls, while no significant difference was observed in the central retina. Error bars represent the mean ± standard error of the mean (SEM) of three independent experiments. Statistical significance was determined using paired t-test (*</w:t>
      </w:r>
      <w:r w:rsidRPr="00E236CB">
        <w:rPr>
          <w:rFonts w:ascii="Arial" w:hAnsi="Arial" w:cs="Arial"/>
          <w:i/>
          <w:iCs/>
          <w:color w:val="000000" w:themeColor="text1"/>
          <w:sz w:val="22"/>
          <w:lang w:bidi="en-US"/>
        </w:rPr>
        <w:t>p</w:t>
      </w:r>
      <w:r w:rsidRPr="00E236CB">
        <w:rPr>
          <w:rFonts w:ascii="Arial" w:hAnsi="Arial" w:cs="Arial"/>
          <w:color w:val="000000" w:themeColor="text1"/>
          <w:sz w:val="22"/>
          <w:lang w:bidi="en-US"/>
        </w:rPr>
        <w:t xml:space="preserve"> &lt; 0.05, **</w:t>
      </w:r>
      <w:r w:rsidRPr="00E236CB">
        <w:rPr>
          <w:rFonts w:ascii="Arial" w:hAnsi="Arial" w:cs="Arial"/>
          <w:i/>
          <w:iCs/>
          <w:color w:val="000000" w:themeColor="text1"/>
          <w:sz w:val="22"/>
          <w:lang w:bidi="en-US"/>
        </w:rPr>
        <w:t>p</w:t>
      </w:r>
      <w:r w:rsidRPr="00E236CB">
        <w:rPr>
          <w:rFonts w:ascii="Arial" w:hAnsi="Arial" w:cs="Arial"/>
          <w:color w:val="000000" w:themeColor="text1"/>
          <w:sz w:val="22"/>
          <w:lang w:bidi="en-US"/>
        </w:rPr>
        <w:t xml:space="preserve"> &lt; 0.01).</w:t>
      </w:r>
    </w:p>
    <w:p w14:paraId="5BB57CC6" w14:textId="77777777" w:rsidR="008D5897" w:rsidRPr="00E236CB" w:rsidRDefault="008D5897" w:rsidP="008D5897">
      <w:pPr>
        <w:rPr>
          <w:color w:val="000000" w:themeColor="text1"/>
        </w:rPr>
      </w:pPr>
      <w:r w:rsidRPr="00E236CB">
        <w:rPr>
          <w:rFonts w:ascii="Arial" w:hAnsi="Arial" w:cs="Arial"/>
          <w:color w:val="000000" w:themeColor="text1"/>
          <w:sz w:val="22"/>
          <w:lang w:bidi="en-US"/>
        </w:rPr>
        <w:br w:type="page"/>
      </w:r>
    </w:p>
    <w:tbl>
      <w:tblPr>
        <w:tblStyle w:val="a3"/>
        <w:tblpPr w:leftFromText="142" w:rightFromText="142" w:vertAnchor="page" w:horzAnchor="margin" w:tblpXSpec="center" w:tblpY="2053"/>
        <w:tblW w:w="0" w:type="auto"/>
        <w:tblLook w:val="04A0" w:firstRow="1" w:lastRow="0" w:firstColumn="1" w:lastColumn="0" w:noHBand="0" w:noVBand="1"/>
      </w:tblPr>
      <w:tblGrid>
        <w:gridCol w:w="1985"/>
        <w:gridCol w:w="4819"/>
      </w:tblGrid>
      <w:tr w:rsidR="00E236CB" w:rsidRPr="00E236CB" w14:paraId="41C45464" w14:textId="77777777" w:rsidTr="007D6955">
        <w:tc>
          <w:tcPr>
            <w:tcW w:w="1985" w:type="dxa"/>
            <w:tcBorders>
              <w:top w:val="single" w:sz="4" w:space="0" w:color="auto"/>
              <w:left w:val="nil"/>
              <w:bottom w:val="single" w:sz="4" w:space="0" w:color="auto"/>
              <w:right w:val="nil"/>
            </w:tcBorders>
          </w:tcPr>
          <w:p w14:paraId="5C80A71F" w14:textId="77777777" w:rsidR="008D5897" w:rsidRPr="00E236CB" w:rsidRDefault="008D5897" w:rsidP="007D6955">
            <w:pPr>
              <w:spacing w:line="360" w:lineRule="auto"/>
              <w:rPr>
                <w:rFonts w:ascii="Arial" w:hAnsi="Arial" w:cs="Arial"/>
                <w:b/>
                <w:color w:val="000000" w:themeColor="text1"/>
                <w:sz w:val="22"/>
                <w:szCs w:val="24"/>
              </w:rPr>
            </w:pPr>
            <w:r w:rsidRPr="00E236CB">
              <w:rPr>
                <w:rFonts w:ascii="Arial" w:hAnsi="Arial" w:cs="Arial"/>
                <w:b/>
                <w:color w:val="000000" w:themeColor="text1"/>
                <w:sz w:val="22"/>
                <w:szCs w:val="24"/>
              </w:rPr>
              <w:lastRenderedPageBreak/>
              <w:t>Gene</w:t>
            </w:r>
          </w:p>
        </w:tc>
        <w:tc>
          <w:tcPr>
            <w:tcW w:w="4819" w:type="dxa"/>
            <w:tcBorders>
              <w:top w:val="single" w:sz="4" w:space="0" w:color="auto"/>
              <w:left w:val="nil"/>
              <w:bottom w:val="single" w:sz="4" w:space="0" w:color="auto"/>
              <w:right w:val="nil"/>
            </w:tcBorders>
          </w:tcPr>
          <w:p w14:paraId="4E983F61" w14:textId="77777777" w:rsidR="008D5897" w:rsidRPr="00E236CB" w:rsidRDefault="008D5897" w:rsidP="007D6955">
            <w:pPr>
              <w:spacing w:line="360" w:lineRule="auto"/>
              <w:rPr>
                <w:rFonts w:ascii="Arial" w:hAnsi="Arial" w:cs="Arial"/>
                <w:b/>
                <w:color w:val="000000" w:themeColor="text1"/>
                <w:sz w:val="22"/>
                <w:szCs w:val="24"/>
              </w:rPr>
            </w:pPr>
            <w:r w:rsidRPr="00E236CB">
              <w:rPr>
                <w:rFonts w:ascii="Arial" w:hAnsi="Arial" w:cs="Arial"/>
                <w:b/>
                <w:color w:val="000000" w:themeColor="text1"/>
                <w:sz w:val="22"/>
                <w:szCs w:val="24"/>
              </w:rPr>
              <w:t>Primer sequences</w:t>
            </w:r>
          </w:p>
        </w:tc>
      </w:tr>
      <w:tr w:rsidR="00E236CB" w:rsidRPr="00E236CB" w14:paraId="1E2E10B9" w14:textId="77777777" w:rsidTr="007D6955">
        <w:tc>
          <w:tcPr>
            <w:tcW w:w="1985" w:type="dxa"/>
            <w:tcBorders>
              <w:top w:val="single" w:sz="4" w:space="0" w:color="auto"/>
              <w:left w:val="nil"/>
              <w:bottom w:val="nil"/>
              <w:right w:val="nil"/>
            </w:tcBorders>
          </w:tcPr>
          <w:p w14:paraId="23E6463D" w14:textId="77777777" w:rsidR="008D5897" w:rsidRPr="005111E9" w:rsidRDefault="008D5897" w:rsidP="007D6955">
            <w:pPr>
              <w:spacing w:line="360" w:lineRule="auto"/>
              <w:rPr>
                <w:rFonts w:ascii="Arial" w:hAnsi="Arial" w:cs="Arial"/>
                <w:i/>
                <w:iCs/>
                <w:color w:val="000000" w:themeColor="text1"/>
                <w:sz w:val="22"/>
                <w:szCs w:val="24"/>
              </w:rPr>
            </w:pPr>
            <w:r w:rsidRPr="005111E9">
              <w:rPr>
                <w:rFonts w:ascii="Arial" w:hAnsi="Arial" w:cs="Arial"/>
                <w:i/>
                <w:iCs/>
                <w:color w:val="000000" w:themeColor="text1"/>
                <w:sz w:val="22"/>
                <w:szCs w:val="24"/>
              </w:rPr>
              <w:t>PKM2</w:t>
            </w:r>
          </w:p>
        </w:tc>
        <w:tc>
          <w:tcPr>
            <w:tcW w:w="4819" w:type="dxa"/>
            <w:tcBorders>
              <w:top w:val="single" w:sz="4" w:space="0" w:color="auto"/>
              <w:left w:val="nil"/>
              <w:bottom w:val="nil"/>
              <w:right w:val="nil"/>
            </w:tcBorders>
          </w:tcPr>
          <w:p w14:paraId="542157B1" w14:textId="77777777" w:rsidR="008D5897" w:rsidRPr="00E236CB" w:rsidRDefault="008D5897" w:rsidP="007D6955">
            <w:pPr>
              <w:spacing w:line="360" w:lineRule="auto"/>
              <w:rPr>
                <w:rFonts w:ascii="Arial" w:hAnsi="Arial" w:cs="Arial"/>
                <w:color w:val="000000" w:themeColor="text1"/>
                <w:sz w:val="22"/>
                <w:szCs w:val="24"/>
              </w:rPr>
            </w:pPr>
            <w:r w:rsidRPr="00E236CB">
              <w:rPr>
                <w:rFonts w:ascii="Arial" w:hAnsi="Arial" w:cs="Arial"/>
                <w:color w:val="000000" w:themeColor="text1"/>
                <w:sz w:val="22"/>
                <w:szCs w:val="24"/>
              </w:rPr>
              <w:t>Forward: CCTCCAGTCACTCCACAGACCT</w:t>
            </w:r>
          </w:p>
        </w:tc>
      </w:tr>
      <w:tr w:rsidR="00E236CB" w:rsidRPr="00E236CB" w14:paraId="3DCD7DB3" w14:textId="77777777" w:rsidTr="007D6955">
        <w:tc>
          <w:tcPr>
            <w:tcW w:w="1985" w:type="dxa"/>
            <w:tcBorders>
              <w:top w:val="nil"/>
              <w:left w:val="nil"/>
              <w:bottom w:val="nil"/>
              <w:right w:val="nil"/>
            </w:tcBorders>
          </w:tcPr>
          <w:p w14:paraId="68444081" w14:textId="77777777" w:rsidR="008D5897" w:rsidRPr="005111E9" w:rsidRDefault="008D5897" w:rsidP="007D6955">
            <w:pPr>
              <w:spacing w:line="360" w:lineRule="auto"/>
              <w:rPr>
                <w:rFonts w:ascii="Arial" w:hAnsi="Arial" w:cs="Arial"/>
                <w:i/>
                <w:iCs/>
                <w:color w:val="000000" w:themeColor="text1"/>
                <w:sz w:val="22"/>
                <w:szCs w:val="24"/>
              </w:rPr>
            </w:pPr>
          </w:p>
        </w:tc>
        <w:tc>
          <w:tcPr>
            <w:tcW w:w="4819" w:type="dxa"/>
            <w:tcBorders>
              <w:top w:val="nil"/>
              <w:left w:val="nil"/>
              <w:bottom w:val="nil"/>
              <w:right w:val="nil"/>
            </w:tcBorders>
          </w:tcPr>
          <w:p w14:paraId="1D6B70A7" w14:textId="77777777" w:rsidR="008D5897" w:rsidRPr="00E236CB" w:rsidRDefault="008D5897" w:rsidP="007D6955">
            <w:pPr>
              <w:spacing w:line="360" w:lineRule="auto"/>
              <w:rPr>
                <w:rFonts w:ascii="Arial" w:hAnsi="Arial" w:cs="Arial"/>
                <w:color w:val="000000" w:themeColor="text1"/>
                <w:sz w:val="22"/>
                <w:szCs w:val="24"/>
              </w:rPr>
            </w:pPr>
            <w:r w:rsidRPr="00E236CB">
              <w:rPr>
                <w:rFonts w:ascii="Arial" w:hAnsi="Arial" w:cs="Arial"/>
                <w:color w:val="000000" w:themeColor="text1"/>
                <w:sz w:val="22"/>
                <w:szCs w:val="24"/>
              </w:rPr>
              <w:t>Reverse: CTGCCAGACTCCGTCAGAACTA</w:t>
            </w:r>
          </w:p>
        </w:tc>
      </w:tr>
      <w:tr w:rsidR="00E236CB" w:rsidRPr="00E236CB" w14:paraId="1B69FB3F" w14:textId="77777777" w:rsidTr="007D6955">
        <w:tc>
          <w:tcPr>
            <w:tcW w:w="1985" w:type="dxa"/>
            <w:tcBorders>
              <w:top w:val="nil"/>
              <w:left w:val="nil"/>
              <w:bottom w:val="nil"/>
              <w:right w:val="nil"/>
            </w:tcBorders>
          </w:tcPr>
          <w:p w14:paraId="0F5C1D5D" w14:textId="77777777" w:rsidR="008D5897" w:rsidRPr="005111E9" w:rsidRDefault="008D5897" w:rsidP="007D6955">
            <w:pPr>
              <w:spacing w:line="360" w:lineRule="auto"/>
              <w:rPr>
                <w:rFonts w:ascii="Arial" w:hAnsi="Arial" w:cs="Arial"/>
                <w:i/>
                <w:iCs/>
                <w:color w:val="000000" w:themeColor="text1"/>
                <w:sz w:val="22"/>
                <w:szCs w:val="24"/>
              </w:rPr>
            </w:pPr>
            <w:r w:rsidRPr="005111E9">
              <w:rPr>
                <w:rFonts w:ascii="Arial" w:hAnsi="Arial" w:cs="Arial"/>
                <w:i/>
                <w:iCs/>
                <w:color w:val="000000" w:themeColor="text1"/>
                <w:sz w:val="22"/>
                <w:szCs w:val="24"/>
              </w:rPr>
              <w:t>LDHA</w:t>
            </w:r>
          </w:p>
        </w:tc>
        <w:tc>
          <w:tcPr>
            <w:tcW w:w="4819" w:type="dxa"/>
            <w:tcBorders>
              <w:top w:val="nil"/>
              <w:left w:val="nil"/>
              <w:bottom w:val="nil"/>
              <w:right w:val="nil"/>
            </w:tcBorders>
          </w:tcPr>
          <w:p w14:paraId="5BDF2A63" w14:textId="77777777" w:rsidR="008D5897" w:rsidRPr="00E236CB" w:rsidRDefault="008D5897" w:rsidP="007D6955">
            <w:pPr>
              <w:spacing w:line="360" w:lineRule="auto"/>
              <w:rPr>
                <w:rFonts w:ascii="Arial" w:hAnsi="Arial" w:cs="Arial"/>
                <w:color w:val="000000" w:themeColor="text1"/>
                <w:sz w:val="22"/>
                <w:szCs w:val="24"/>
              </w:rPr>
            </w:pPr>
            <w:r w:rsidRPr="00E236CB">
              <w:rPr>
                <w:rFonts w:ascii="Arial" w:hAnsi="Arial" w:cs="Arial"/>
                <w:color w:val="000000" w:themeColor="text1"/>
                <w:sz w:val="22"/>
                <w:szCs w:val="24"/>
              </w:rPr>
              <w:t>Forward: GTTAGGCACCGATGCAGACAA</w:t>
            </w:r>
          </w:p>
        </w:tc>
      </w:tr>
      <w:tr w:rsidR="00E236CB" w:rsidRPr="00E236CB" w14:paraId="38815E2C" w14:textId="77777777" w:rsidTr="007D6955">
        <w:tc>
          <w:tcPr>
            <w:tcW w:w="1985" w:type="dxa"/>
            <w:tcBorders>
              <w:top w:val="nil"/>
              <w:left w:val="nil"/>
              <w:bottom w:val="nil"/>
              <w:right w:val="nil"/>
            </w:tcBorders>
          </w:tcPr>
          <w:p w14:paraId="4BD86D36" w14:textId="77777777" w:rsidR="008D5897" w:rsidRPr="005111E9" w:rsidRDefault="008D5897" w:rsidP="007D6955">
            <w:pPr>
              <w:spacing w:line="360" w:lineRule="auto"/>
              <w:rPr>
                <w:rFonts w:ascii="Arial" w:hAnsi="Arial" w:cs="Arial"/>
                <w:i/>
                <w:iCs/>
                <w:color w:val="000000" w:themeColor="text1"/>
                <w:sz w:val="22"/>
                <w:szCs w:val="24"/>
              </w:rPr>
            </w:pPr>
          </w:p>
        </w:tc>
        <w:tc>
          <w:tcPr>
            <w:tcW w:w="4819" w:type="dxa"/>
            <w:tcBorders>
              <w:top w:val="nil"/>
              <w:left w:val="nil"/>
              <w:bottom w:val="nil"/>
              <w:right w:val="nil"/>
            </w:tcBorders>
          </w:tcPr>
          <w:p w14:paraId="48E29BD7" w14:textId="77777777" w:rsidR="008D5897" w:rsidRPr="00E236CB" w:rsidRDefault="008D5897" w:rsidP="007D6955">
            <w:pPr>
              <w:spacing w:line="360" w:lineRule="auto"/>
              <w:rPr>
                <w:rFonts w:ascii="Arial" w:hAnsi="Arial" w:cs="Arial"/>
                <w:color w:val="000000" w:themeColor="text1"/>
                <w:sz w:val="22"/>
                <w:szCs w:val="24"/>
              </w:rPr>
            </w:pPr>
            <w:r w:rsidRPr="00E236CB">
              <w:rPr>
                <w:rFonts w:ascii="Arial" w:hAnsi="Arial" w:cs="Arial"/>
                <w:color w:val="000000" w:themeColor="text1"/>
                <w:sz w:val="22"/>
                <w:szCs w:val="24"/>
              </w:rPr>
              <w:t>Reverse: ATGCACCCTCCTGAGATTCTTC</w:t>
            </w:r>
          </w:p>
        </w:tc>
      </w:tr>
      <w:tr w:rsidR="00E236CB" w:rsidRPr="00E236CB" w14:paraId="49DF98D3" w14:textId="77777777" w:rsidTr="007D6955">
        <w:tc>
          <w:tcPr>
            <w:tcW w:w="1985" w:type="dxa"/>
            <w:tcBorders>
              <w:top w:val="nil"/>
              <w:left w:val="nil"/>
              <w:bottom w:val="nil"/>
              <w:right w:val="nil"/>
            </w:tcBorders>
          </w:tcPr>
          <w:p w14:paraId="56069A5F" w14:textId="77777777" w:rsidR="008D5897" w:rsidRPr="005111E9" w:rsidRDefault="008D5897" w:rsidP="007D6955">
            <w:pPr>
              <w:spacing w:line="360" w:lineRule="auto"/>
              <w:rPr>
                <w:rFonts w:ascii="Arial" w:hAnsi="Arial" w:cs="Arial"/>
                <w:i/>
                <w:iCs/>
                <w:color w:val="000000" w:themeColor="text1"/>
                <w:sz w:val="22"/>
                <w:szCs w:val="24"/>
              </w:rPr>
            </w:pPr>
            <w:r w:rsidRPr="005111E9">
              <w:rPr>
                <w:rFonts w:ascii="Arial" w:hAnsi="Arial" w:cs="Arial"/>
                <w:i/>
                <w:iCs/>
                <w:color w:val="000000" w:themeColor="text1"/>
                <w:sz w:val="22"/>
                <w:szCs w:val="24"/>
              </w:rPr>
              <w:t>GAPDH</w:t>
            </w:r>
          </w:p>
        </w:tc>
        <w:tc>
          <w:tcPr>
            <w:tcW w:w="4819" w:type="dxa"/>
            <w:tcBorders>
              <w:top w:val="nil"/>
              <w:left w:val="nil"/>
              <w:bottom w:val="nil"/>
              <w:right w:val="nil"/>
            </w:tcBorders>
          </w:tcPr>
          <w:p w14:paraId="565D06ED" w14:textId="77777777" w:rsidR="008D5897" w:rsidRPr="00E236CB" w:rsidRDefault="008D5897" w:rsidP="007D6955">
            <w:pPr>
              <w:spacing w:line="360" w:lineRule="auto"/>
              <w:rPr>
                <w:rFonts w:ascii="Arial" w:hAnsi="Arial" w:cs="Arial"/>
                <w:color w:val="000000" w:themeColor="text1"/>
                <w:sz w:val="22"/>
                <w:szCs w:val="24"/>
              </w:rPr>
            </w:pPr>
            <w:r w:rsidRPr="00E236CB">
              <w:rPr>
                <w:rFonts w:ascii="Arial" w:hAnsi="Arial" w:cs="Arial"/>
                <w:color w:val="000000" w:themeColor="text1"/>
                <w:sz w:val="22"/>
                <w:szCs w:val="24"/>
              </w:rPr>
              <w:t>Forward: TTCCAGTATGATTCCACCCACG</w:t>
            </w:r>
          </w:p>
        </w:tc>
      </w:tr>
      <w:tr w:rsidR="00E236CB" w:rsidRPr="00E236CB" w14:paraId="3AF45A2A" w14:textId="77777777" w:rsidTr="007D6955">
        <w:tc>
          <w:tcPr>
            <w:tcW w:w="1985" w:type="dxa"/>
            <w:tcBorders>
              <w:top w:val="nil"/>
              <w:left w:val="nil"/>
              <w:bottom w:val="single" w:sz="4" w:space="0" w:color="auto"/>
              <w:right w:val="nil"/>
            </w:tcBorders>
          </w:tcPr>
          <w:p w14:paraId="21F6B19E" w14:textId="77777777" w:rsidR="008D5897" w:rsidRPr="005111E9" w:rsidRDefault="008D5897" w:rsidP="007D6955">
            <w:pPr>
              <w:spacing w:line="360" w:lineRule="auto"/>
              <w:rPr>
                <w:rFonts w:ascii="Arial" w:hAnsi="Arial" w:cs="Arial"/>
                <w:i/>
                <w:iCs/>
                <w:color w:val="000000" w:themeColor="text1"/>
                <w:sz w:val="22"/>
                <w:szCs w:val="24"/>
              </w:rPr>
            </w:pPr>
          </w:p>
        </w:tc>
        <w:tc>
          <w:tcPr>
            <w:tcW w:w="4819" w:type="dxa"/>
            <w:tcBorders>
              <w:top w:val="nil"/>
              <w:left w:val="nil"/>
              <w:bottom w:val="single" w:sz="4" w:space="0" w:color="auto"/>
              <w:right w:val="nil"/>
            </w:tcBorders>
          </w:tcPr>
          <w:p w14:paraId="1008C182" w14:textId="77777777" w:rsidR="008D5897" w:rsidRPr="00E236CB" w:rsidRDefault="008D5897" w:rsidP="007D6955">
            <w:pPr>
              <w:spacing w:line="360" w:lineRule="auto"/>
              <w:rPr>
                <w:rFonts w:ascii="Arial" w:hAnsi="Arial" w:cs="Arial"/>
                <w:color w:val="000000" w:themeColor="text1"/>
                <w:sz w:val="22"/>
                <w:szCs w:val="24"/>
              </w:rPr>
            </w:pPr>
            <w:r w:rsidRPr="00E236CB">
              <w:rPr>
                <w:rFonts w:ascii="Arial" w:hAnsi="Arial" w:cs="Arial"/>
                <w:color w:val="000000" w:themeColor="text1"/>
                <w:sz w:val="22"/>
                <w:szCs w:val="24"/>
              </w:rPr>
              <w:t>Reverse: GGGCTGAGATGATGACCCTTTT</w:t>
            </w:r>
          </w:p>
        </w:tc>
      </w:tr>
    </w:tbl>
    <w:p w14:paraId="4B33D11A" w14:textId="77777777" w:rsidR="008D5897" w:rsidRDefault="008D5897" w:rsidP="008D5897">
      <w:pPr>
        <w:spacing w:line="360" w:lineRule="auto"/>
        <w:rPr>
          <w:rFonts w:ascii="Arial" w:hAnsi="Arial" w:cs="Arial"/>
          <w:color w:val="000000" w:themeColor="text1"/>
          <w:sz w:val="22"/>
          <w:szCs w:val="24"/>
        </w:rPr>
      </w:pPr>
    </w:p>
    <w:p w14:paraId="1DE9B61A" w14:textId="77777777" w:rsidR="002E4853" w:rsidRDefault="002E4853" w:rsidP="008D5897">
      <w:pPr>
        <w:spacing w:line="360" w:lineRule="auto"/>
        <w:rPr>
          <w:rFonts w:ascii="Arial" w:hAnsi="Arial" w:cs="Arial"/>
          <w:color w:val="000000" w:themeColor="text1"/>
          <w:sz w:val="22"/>
          <w:szCs w:val="24"/>
        </w:rPr>
      </w:pPr>
    </w:p>
    <w:p w14:paraId="29FBCD40" w14:textId="77777777" w:rsidR="002E4853" w:rsidRDefault="002E4853" w:rsidP="008D5897">
      <w:pPr>
        <w:spacing w:line="360" w:lineRule="auto"/>
        <w:rPr>
          <w:rFonts w:ascii="Arial" w:hAnsi="Arial" w:cs="Arial"/>
          <w:color w:val="000000" w:themeColor="text1"/>
          <w:sz w:val="22"/>
          <w:szCs w:val="24"/>
        </w:rPr>
      </w:pPr>
    </w:p>
    <w:p w14:paraId="3BFDE6DE" w14:textId="77777777" w:rsidR="002E4853" w:rsidRDefault="002E4853" w:rsidP="008D5897">
      <w:pPr>
        <w:spacing w:line="360" w:lineRule="auto"/>
        <w:rPr>
          <w:rFonts w:ascii="Arial" w:hAnsi="Arial" w:cs="Arial"/>
          <w:color w:val="000000" w:themeColor="text1"/>
          <w:sz w:val="22"/>
          <w:szCs w:val="24"/>
        </w:rPr>
      </w:pPr>
    </w:p>
    <w:p w14:paraId="168EAB97" w14:textId="77777777" w:rsidR="002E4853" w:rsidRDefault="002E4853" w:rsidP="008D5897">
      <w:pPr>
        <w:spacing w:line="360" w:lineRule="auto"/>
        <w:rPr>
          <w:rFonts w:ascii="Arial" w:hAnsi="Arial" w:cs="Arial"/>
          <w:color w:val="000000" w:themeColor="text1"/>
          <w:sz w:val="22"/>
          <w:szCs w:val="24"/>
        </w:rPr>
      </w:pPr>
    </w:p>
    <w:p w14:paraId="7A598AA1" w14:textId="77777777" w:rsidR="002E4853" w:rsidRPr="00E236CB" w:rsidRDefault="002E4853" w:rsidP="008D5897">
      <w:pPr>
        <w:spacing w:line="360" w:lineRule="auto"/>
        <w:rPr>
          <w:rFonts w:ascii="Arial" w:hAnsi="Arial" w:cs="Arial"/>
          <w:color w:val="000000" w:themeColor="text1"/>
          <w:sz w:val="22"/>
          <w:szCs w:val="24"/>
        </w:rPr>
      </w:pPr>
    </w:p>
    <w:p w14:paraId="58284D54" w14:textId="77777777" w:rsidR="008D5897" w:rsidRPr="00E236CB" w:rsidRDefault="008D5897" w:rsidP="008D5897">
      <w:pPr>
        <w:spacing w:line="360" w:lineRule="auto"/>
        <w:rPr>
          <w:rFonts w:ascii="Arial" w:hAnsi="Arial" w:cs="Arial"/>
          <w:color w:val="000000" w:themeColor="text1"/>
          <w:sz w:val="22"/>
          <w:szCs w:val="24"/>
        </w:rPr>
      </w:pPr>
      <w:r w:rsidRPr="00E236CB">
        <w:rPr>
          <w:rFonts w:ascii="Arial" w:hAnsi="Arial" w:cs="Arial"/>
          <w:color w:val="000000" w:themeColor="text1"/>
          <w:sz w:val="22"/>
          <w:szCs w:val="24"/>
        </w:rPr>
        <w:t>Supplementary Table S2. Primer sequences used for real-time quantitative reverse transcriptase polymerase chain reaction (</w:t>
      </w:r>
      <w:proofErr w:type="spellStart"/>
      <w:r w:rsidRPr="00E236CB">
        <w:rPr>
          <w:rFonts w:ascii="Arial" w:hAnsi="Arial" w:cs="Arial"/>
          <w:color w:val="000000" w:themeColor="text1"/>
          <w:sz w:val="22"/>
          <w:szCs w:val="24"/>
        </w:rPr>
        <w:t>qRT</w:t>
      </w:r>
      <w:proofErr w:type="spellEnd"/>
      <w:r w:rsidRPr="00E236CB">
        <w:rPr>
          <w:rFonts w:ascii="Arial" w:hAnsi="Arial" w:cs="Arial"/>
          <w:color w:val="000000" w:themeColor="text1"/>
          <w:sz w:val="22"/>
          <w:szCs w:val="24"/>
        </w:rPr>
        <w:t>-PCR).</w:t>
      </w:r>
    </w:p>
    <w:p w14:paraId="1D2B7FB0" w14:textId="77777777" w:rsidR="006A34F3" w:rsidRPr="00E236CB" w:rsidRDefault="00C8315D" w:rsidP="008D5897">
      <w:pPr>
        <w:rPr>
          <w:color w:val="000000" w:themeColor="text1"/>
        </w:rPr>
      </w:pPr>
    </w:p>
    <w:sectPr w:rsidR="006A34F3" w:rsidRPr="00E236CB">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17CBF" w14:textId="77777777" w:rsidR="00C8315D" w:rsidRDefault="00C8315D" w:rsidP="005111E9">
      <w:pPr>
        <w:spacing w:after="0" w:line="240" w:lineRule="auto"/>
      </w:pPr>
      <w:r>
        <w:separator/>
      </w:r>
    </w:p>
  </w:endnote>
  <w:endnote w:type="continuationSeparator" w:id="0">
    <w:p w14:paraId="5C804AE4" w14:textId="77777777" w:rsidR="00C8315D" w:rsidRDefault="00C8315D" w:rsidP="00511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4B550" w14:textId="77777777" w:rsidR="00C8315D" w:rsidRDefault="00C8315D" w:rsidP="005111E9">
      <w:pPr>
        <w:spacing w:after="0" w:line="240" w:lineRule="auto"/>
      </w:pPr>
      <w:r>
        <w:separator/>
      </w:r>
    </w:p>
  </w:footnote>
  <w:footnote w:type="continuationSeparator" w:id="0">
    <w:p w14:paraId="095FB152" w14:textId="77777777" w:rsidR="00C8315D" w:rsidRDefault="00C8315D" w:rsidP="005111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897"/>
    <w:rsid w:val="00196EDE"/>
    <w:rsid w:val="002E4853"/>
    <w:rsid w:val="005111E9"/>
    <w:rsid w:val="008D5897"/>
    <w:rsid w:val="00C8315D"/>
    <w:rsid w:val="00D911CF"/>
    <w:rsid w:val="00E236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C5EB1"/>
  <w15:chartTrackingRefBased/>
  <w15:docId w15:val="{40F2A387-23E6-4EAB-B4A5-A80CF2FF9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5897"/>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D58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5111E9"/>
    <w:pPr>
      <w:tabs>
        <w:tab w:val="center" w:pos="4513"/>
        <w:tab w:val="right" w:pos="9026"/>
      </w:tabs>
      <w:snapToGrid w:val="0"/>
    </w:pPr>
  </w:style>
  <w:style w:type="character" w:customStyle="1" w:styleId="Char">
    <w:name w:val="머리글 Char"/>
    <w:basedOn w:val="a0"/>
    <w:link w:val="a4"/>
    <w:uiPriority w:val="99"/>
    <w:rsid w:val="005111E9"/>
  </w:style>
  <w:style w:type="paragraph" w:styleId="a5">
    <w:name w:val="footer"/>
    <w:basedOn w:val="a"/>
    <w:link w:val="Char0"/>
    <w:uiPriority w:val="99"/>
    <w:unhideWhenUsed/>
    <w:rsid w:val="005111E9"/>
    <w:pPr>
      <w:tabs>
        <w:tab w:val="center" w:pos="4513"/>
        <w:tab w:val="right" w:pos="9026"/>
      </w:tabs>
      <w:snapToGrid w:val="0"/>
    </w:pPr>
  </w:style>
  <w:style w:type="character" w:customStyle="1" w:styleId="Char0">
    <w:name w:val="바닥글 Char"/>
    <w:basedOn w:val="a0"/>
    <w:link w:val="a5"/>
    <w:uiPriority w:val="99"/>
    <w:rsid w:val="00511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261</Words>
  <Characters>1493</Characters>
  <Application>Microsoft Office Word</Application>
  <DocSecurity>0</DocSecurity>
  <Lines>12</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서유리(용인 안과)</dc:creator>
  <cp:keywords/>
  <dc:description/>
  <cp:lastModifiedBy>Moonchaeeun</cp:lastModifiedBy>
  <cp:revision>4</cp:revision>
  <dcterms:created xsi:type="dcterms:W3CDTF">2024-09-18T23:52:00Z</dcterms:created>
  <dcterms:modified xsi:type="dcterms:W3CDTF">2024-09-20T02:11:00Z</dcterms:modified>
</cp:coreProperties>
</file>