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5BDEE" w14:textId="77777777" w:rsidR="00376A58" w:rsidRPr="008F0DA6" w:rsidRDefault="00376A58" w:rsidP="00376A58">
      <w:pPr>
        <w:spacing w:line="240" w:lineRule="auto"/>
        <w:ind w:left="0"/>
        <w:jc w:val="both"/>
        <w:rPr>
          <w:b/>
        </w:rPr>
      </w:pPr>
      <w:r w:rsidRPr="008F0DA6">
        <w:rPr>
          <w:b/>
        </w:rPr>
        <w:t>Supplementary materials</w:t>
      </w:r>
    </w:p>
    <w:p w14:paraId="23540B36" w14:textId="272BFD03" w:rsidR="00376A58" w:rsidRPr="008F0DA6" w:rsidRDefault="00376A58" w:rsidP="00376A58">
      <w:pPr>
        <w:spacing w:line="240" w:lineRule="auto"/>
        <w:ind w:left="0"/>
        <w:jc w:val="both"/>
        <w:rPr>
          <w:bCs/>
        </w:rPr>
      </w:pPr>
      <w:r w:rsidRPr="008F0DA6">
        <w:rPr>
          <w:bCs/>
        </w:rPr>
        <w:t>S1. Information of the mental health and psychological measures</w:t>
      </w:r>
      <w:r w:rsidRPr="008F0DA6">
        <w:rPr>
          <w:bCs/>
        </w:rPr>
        <w:tab/>
      </w:r>
      <w:r w:rsidRPr="008F0DA6">
        <w:rPr>
          <w:bCs/>
        </w:rPr>
        <w:tab/>
      </w:r>
      <w:r w:rsidRPr="008F0DA6">
        <w:rPr>
          <w:bCs/>
        </w:rPr>
        <w:tab/>
      </w:r>
      <w:r w:rsidRPr="008F0DA6">
        <w:rPr>
          <w:bCs/>
        </w:rPr>
        <w:tab/>
      </w:r>
      <w:r w:rsidRPr="008F0DA6">
        <w:rPr>
          <w:bCs/>
        </w:rPr>
        <w:tab/>
      </w:r>
      <w:r w:rsidRPr="008F0DA6">
        <w:rPr>
          <w:bCs/>
        </w:rPr>
        <w:t>2</w:t>
      </w:r>
    </w:p>
    <w:p w14:paraId="6A3ECF7C" w14:textId="07D7F59A" w:rsidR="00376A58" w:rsidRPr="008F0DA6" w:rsidRDefault="00376A58" w:rsidP="00376A58">
      <w:pPr>
        <w:spacing w:line="240" w:lineRule="auto"/>
        <w:ind w:left="0"/>
        <w:jc w:val="both"/>
        <w:rPr>
          <w:bCs/>
        </w:rPr>
      </w:pPr>
      <w:r w:rsidRPr="008F0DA6">
        <w:rPr>
          <w:bCs/>
        </w:rPr>
        <w:t>S2. Parallel Analysis Scree Plots for five loneliness scales.</w:t>
      </w:r>
      <w:r w:rsidRPr="008F0DA6">
        <w:rPr>
          <w:bCs/>
        </w:rPr>
        <w:tab/>
      </w:r>
      <w:r w:rsidRPr="008F0DA6">
        <w:rPr>
          <w:bCs/>
        </w:rPr>
        <w:tab/>
      </w:r>
      <w:r w:rsidRPr="008F0DA6">
        <w:rPr>
          <w:bCs/>
        </w:rPr>
        <w:tab/>
      </w:r>
      <w:r w:rsidRPr="008F0DA6">
        <w:rPr>
          <w:bCs/>
        </w:rPr>
        <w:tab/>
      </w:r>
      <w:r w:rsidRPr="008F0DA6">
        <w:rPr>
          <w:bCs/>
        </w:rPr>
        <w:tab/>
      </w:r>
      <w:r w:rsidRPr="008F0DA6">
        <w:rPr>
          <w:bCs/>
        </w:rPr>
        <w:t>8</w:t>
      </w:r>
    </w:p>
    <w:p w14:paraId="67BC4193" w14:textId="2A6EBA10" w:rsidR="00D61F9D" w:rsidRPr="008F0DA6" w:rsidRDefault="00376A58" w:rsidP="00376A58">
      <w:pPr>
        <w:spacing w:line="240" w:lineRule="auto"/>
        <w:ind w:left="0"/>
        <w:jc w:val="both"/>
        <w:rPr>
          <w:b/>
        </w:rPr>
        <w:sectPr w:rsidR="00D61F9D" w:rsidRPr="008F0DA6">
          <w:footerReference w:type="default" r:id="rId7"/>
          <w:pgSz w:w="11909" w:h="16834"/>
          <w:pgMar w:top="1440" w:right="1440" w:bottom="1440" w:left="1440" w:header="720" w:footer="720" w:gutter="0"/>
          <w:pgNumType w:start="1"/>
          <w:cols w:space="720"/>
        </w:sectPr>
      </w:pPr>
      <w:r w:rsidRPr="008F0DA6">
        <w:rPr>
          <w:bCs/>
        </w:rPr>
        <w:t>S3. Associations between total scores of various forms of UCLA loneliness scale with mental well-being and psychosocial qualities.</w:t>
      </w:r>
      <w:r w:rsidRPr="008F0DA6">
        <w:rPr>
          <w:bCs/>
        </w:rPr>
        <w:tab/>
      </w:r>
      <w:r w:rsidRPr="008F0DA6">
        <w:rPr>
          <w:bCs/>
        </w:rPr>
        <w:tab/>
      </w:r>
      <w:r w:rsidRPr="008F0DA6">
        <w:rPr>
          <w:b/>
        </w:rPr>
        <w:tab/>
      </w:r>
      <w:r w:rsidRPr="008F0DA6">
        <w:rPr>
          <w:b/>
        </w:rPr>
        <w:tab/>
      </w:r>
      <w:r w:rsidRPr="008F0DA6">
        <w:rPr>
          <w:b/>
        </w:rPr>
        <w:tab/>
      </w:r>
      <w:r w:rsidRPr="008F0DA6">
        <w:rPr>
          <w:b/>
        </w:rPr>
        <w:tab/>
      </w:r>
      <w:r w:rsidRPr="008F0DA6">
        <w:rPr>
          <w:b/>
        </w:rPr>
        <w:tab/>
      </w:r>
      <w:r w:rsidRPr="008F0DA6">
        <w:rPr>
          <w:b/>
        </w:rPr>
        <w:tab/>
      </w:r>
      <w:r w:rsidRPr="008F0DA6">
        <w:rPr>
          <w:bCs/>
        </w:rPr>
        <w:t>9</w:t>
      </w:r>
    </w:p>
    <w:p w14:paraId="67BC4194" w14:textId="77777777" w:rsidR="00D61F9D" w:rsidRPr="008F0DA6" w:rsidRDefault="008F0DA6">
      <w:pPr>
        <w:pStyle w:val="Heading2"/>
      </w:pPr>
      <w:bookmarkStart w:id="0" w:name="_er4vop5qgj9h" w:colFirst="0" w:colLast="0"/>
      <w:bookmarkEnd w:id="0"/>
      <w:r w:rsidRPr="008F0DA6">
        <w:lastRenderedPageBreak/>
        <w:t>S1. Information of the mental health and psychological measures</w:t>
      </w:r>
    </w:p>
    <w:p w14:paraId="67BC4195" w14:textId="77777777" w:rsidR="00D61F9D" w:rsidRPr="008F0DA6" w:rsidRDefault="008F0DA6">
      <w:pPr>
        <w:pStyle w:val="Heading3"/>
        <w:spacing w:line="240" w:lineRule="auto"/>
      </w:pPr>
      <w:bookmarkStart w:id="1" w:name="_i724olr86fwg" w:colFirst="0" w:colLast="0"/>
      <w:bookmarkEnd w:id="1"/>
      <w:r w:rsidRPr="008F0DA6">
        <w:t>Patient Health Questionnaire-9 (PHQ-9)</w:t>
      </w:r>
    </w:p>
    <w:p w14:paraId="67BC4196" w14:textId="77777777" w:rsidR="00D61F9D" w:rsidRPr="008F0DA6" w:rsidRDefault="008F0DA6">
      <w:pPr>
        <w:spacing w:line="240" w:lineRule="auto"/>
        <w:ind w:left="0"/>
      </w:pPr>
      <w:r w:rsidRPr="008F0DA6">
        <w:rPr>
          <w:highlight w:val="white"/>
        </w:rPr>
        <w:t>The PHQ-9 is a 9-item depression screening tool with high internal consistency (</w:t>
      </w:r>
      <w:r w:rsidRPr="008F0DA6">
        <w:rPr>
          <w:i/>
          <w:highlight w:val="white"/>
        </w:rPr>
        <w:t xml:space="preserve">α </w:t>
      </w:r>
      <w:r w:rsidRPr="008F0DA6">
        <w:rPr>
          <w:highlight w:val="white"/>
        </w:rPr>
        <w:t xml:space="preserve">= 0.86 – 0.89) </w:t>
      </w:r>
      <w:r w:rsidRPr="008F0DA6">
        <w:rPr>
          <w:color w:val="000000"/>
          <w:highlight w:val="white"/>
        </w:rPr>
        <w:t>[1]</w:t>
      </w:r>
      <w:r w:rsidRPr="008F0DA6">
        <w:rPr>
          <w:highlight w:val="white"/>
        </w:rPr>
        <w:t>. The Chinese version has also demonstrated good reliability (</w:t>
      </w:r>
      <w:r w:rsidRPr="008F0DA6">
        <w:rPr>
          <w:i/>
          <w:highlight w:val="white"/>
        </w:rPr>
        <w:t>α</w:t>
      </w:r>
      <w:r w:rsidRPr="008F0DA6">
        <w:rPr>
          <w:highlight w:val="white"/>
        </w:rPr>
        <w:t xml:space="preserve"> = 0.85) among undergraduates</w:t>
      </w:r>
      <w:r w:rsidRPr="008F0DA6">
        <w:t xml:space="preserve"> </w:t>
      </w:r>
      <w:r w:rsidRPr="008F0DA6">
        <w:rPr>
          <w:color w:val="000000"/>
        </w:rPr>
        <w:t>[2]</w:t>
      </w:r>
      <w:r w:rsidRPr="008F0DA6">
        <w:rPr>
          <w:highlight w:val="white"/>
        </w:rPr>
        <w:t xml:space="preserve">. Based on the clinical diagnosis of major depressive disorder, the pooled sensitivity (ranging from 0.82 to 0.89) and specificity (0.83 to 0.89) results reveal no significant differences in the diagnostic properties of the PHQ-9 for cut-off scores between 8 and 11 </w:t>
      </w:r>
      <w:r w:rsidRPr="008F0DA6">
        <w:rPr>
          <w:color w:val="000000"/>
          <w:highlight w:val="white"/>
        </w:rPr>
        <w:t>[3]</w:t>
      </w:r>
      <w:r w:rsidRPr="008F0DA6">
        <w:rPr>
          <w:rFonts w:eastAsia="Gungsuh"/>
          <w:highlight w:val="white"/>
        </w:rPr>
        <w:t>. We adopted a cut-off score of ≥10 to indicate probable depression, as it is a more commonly used threshold. In the current st</w:t>
      </w:r>
      <w:r w:rsidRPr="008F0DA6">
        <w:rPr>
          <w:rFonts w:eastAsia="Gungsuh"/>
          <w:highlight w:val="white"/>
        </w:rPr>
        <w:t xml:space="preserve">udy, the scale exhibited a McDonald's </w:t>
      </w:r>
      <w:proofErr w:type="spellStart"/>
      <w:r w:rsidRPr="008F0DA6">
        <w:rPr>
          <w:rFonts w:eastAsia="Gungsuh"/>
          <w:highlight w:val="white"/>
        </w:rPr>
        <w:t>ω</w:t>
      </w:r>
      <w:r w:rsidRPr="008F0DA6">
        <w:rPr>
          <w:highlight w:val="white"/>
          <w:vertAlign w:val="subscript"/>
        </w:rPr>
        <w:t>t</w:t>
      </w:r>
      <w:proofErr w:type="spellEnd"/>
      <w:r w:rsidRPr="008F0DA6">
        <w:rPr>
          <w:highlight w:val="white"/>
        </w:rPr>
        <w:t xml:space="preserve"> of 0.91.</w:t>
      </w:r>
    </w:p>
    <w:p w14:paraId="67BC4197" w14:textId="77777777" w:rsidR="00D61F9D" w:rsidRPr="008F0DA6" w:rsidRDefault="008F0DA6">
      <w:pPr>
        <w:pStyle w:val="Heading3"/>
        <w:spacing w:line="240" w:lineRule="auto"/>
      </w:pPr>
      <w:bookmarkStart w:id="2" w:name="_196ii3y5kxqo" w:colFirst="0" w:colLast="0"/>
      <w:bookmarkEnd w:id="2"/>
      <w:r w:rsidRPr="008F0DA6">
        <w:t>Generalised Anxiety Disorder-7 (GAD-7)</w:t>
      </w:r>
    </w:p>
    <w:p w14:paraId="67BC4198" w14:textId="77777777" w:rsidR="00D61F9D" w:rsidRPr="008F0DA6" w:rsidRDefault="008F0DA6">
      <w:pPr>
        <w:spacing w:line="240" w:lineRule="auto"/>
        <w:ind w:left="0"/>
      </w:pPr>
      <w:r w:rsidRPr="008F0DA6">
        <w:t xml:space="preserve">The GAD-7 is a 7-item anxiety screening questionnaire </w:t>
      </w:r>
      <w:r w:rsidRPr="008F0DA6">
        <w:rPr>
          <w:color w:val="000000"/>
        </w:rPr>
        <w:t>[4]</w:t>
      </w:r>
      <w:r w:rsidRPr="008F0DA6">
        <w:rPr>
          <w:rFonts w:eastAsia="Gungsuh"/>
        </w:rPr>
        <w:t xml:space="preserve">. The original GAD-7 demonstrated high sensitivity (89%) and specificity (82%) using a cutoff score of ≥10 </w:t>
      </w:r>
      <w:r w:rsidRPr="008F0DA6">
        <w:rPr>
          <w:color w:val="000000"/>
        </w:rPr>
        <w:t>[4]</w:t>
      </w:r>
      <w:r w:rsidRPr="008F0DA6">
        <w:t>. The Chinese version also showed good reliability (</w:t>
      </w:r>
      <w:r w:rsidRPr="008F0DA6">
        <w:rPr>
          <w:i/>
        </w:rPr>
        <w:t>α</w:t>
      </w:r>
      <w:r w:rsidRPr="008F0DA6">
        <w:rPr>
          <w:rFonts w:eastAsia="Gungsuh"/>
        </w:rPr>
        <w:t xml:space="preserve"> = 0.84 – 0.92) and an optimal cutoff of ≥7, maximised sensitivity (79%) and specificity (81%) in Chinese adolescents when compared to diagnostic interviews </w:t>
      </w:r>
      <w:r w:rsidRPr="008F0DA6">
        <w:rPr>
          <w:color w:val="000000"/>
        </w:rPr>
        <w:t>[5,6]</w:t>
      </w:r>
      <w:r w:rsidRPr="008F0DA6">
        <w:t xml:space="preserve">. In the current study, the scale demonstrated a McDonald’s </w:t>
      </w:r>
      <w:proofErr w:type="spellStart"/>
      <w:r w:rsidRPr="008F0DA6">
        <w:t>ω</w:t>
      </w:r>
      <w:r w:rsidRPr="008F0DA6">
        <w:rPr>
          <w:vertAlign w:val="subscript"/>
        </w:rPr>
        <w:t>t</w:t>
      </w:r>
      <w:proofErr w:type="spellEnd"/>
      <w:r w:rsidRPr="008F0DA6">
        <w:rPr>
          <w:rFonts w:eastAsia="Gungsuh"/>
        </w:rPr>
        <w:t xml:space="preserve"> of 0.95, and we adopted a cutoff of ≥7 to indicate probable anxiety. </w:t>
      </w:r>
    </w:p>
    <w:p w14:paraId="67BC4199" w14:textId="77777777" w:rsidR="00D61F9D" w:rsidRPr="008F0DA6" w:rsidRDefault="008F0DA6">
      <w:pPr>
        <w:pStyle w:val="Heading3"/>
        <w:spacing w:line="240" w:lineRule="auto"/>
      </w:pPr>
      <w:bookmarkStart w:id="3" w:name="_6b45ucogve8k" w:colFirst="0" w:colLast="0"/>
      <w:bookmarkEnd w:id="3"/>
      <w:r w:rsidRPr="008F0DA6">
        <w:t>Liebowitz Social Anxiety Scale (LSAS)</w:t>
      </w:r>
    </w:p>
    <w:p w14:paraId="67BC419A" w14:textId="77777777" w:rsidR="00D61F9D" w:rsidRPr="008F0DA6" w:rsidRDefault="008F0DA6">
      <w:pPr>
        <w:spacing w:line="240" w:lineRule="auto"/>
        <w:ind w:left="0"/>
      </w:pPr>
      <w:r w:rsidRPr="008F0DA6">
        <w:t xml:space="preserve">The LSAS is a 24-item measure designed to assess fear and avoidance of social situations </w:t>
      </w:r>
      <w:r w:rsidRPr="008F0DA6">
        <w:rPr>
          <w:color w:val="000000"/>
        </w:rPr>
        <w:t>[7]</w:t>
      </w:r>
      <w:r w:rsidRPr="008F0DA6">
        <w:t xml:space="preserve">. This scale exhibits excellent internal consistency (α = 0.91) and demonstrates convergent and discriminant validity through significant correlations with other social anxiety measures, such as the Social Phobia Anxiety Inventory (r = 0.48 – 0.83) </w:t>
      </w:r>
      <w:r w:rsidRPr="008F0DA6">
        <w:rPr>
          <w:color w:val="000000"/>
        </w:rPr>
        <w:t>[8]</w:t>
      </w:r>
      <w:r w:rsidRPr="008F0DA6">
        <w:t xml:space="preserve">. In the current study, the scale displayed a McDonald’s </w:t>
      </w:r>
      <w:proofErr w:type="spellStart"/>
      <w:r w:rsidRPr="008F0DA6">
        <w:t>ωt</w:t>
      </w:r>
      <w:proofErr w:type="spellEnd"/>
      <w:r w:rsidRPr="008F0DA6">
        <w:rPr>
          <w:rFonts w:eastAsia="Gungsuh"/>
        </w:rPr>
        <w:t xml:space="preserve"> of 0.97. We adopted a cutoff of ≥50 to indicate a moderate social anxiety condition</w:t>
      </w:r>
      <w:r w:rsidRPr="008F0DA6">
        <w:t xml:space="preserve">, as recommended by Liebowitz and Liebowitz  </w:t>
      </w:r>
      <w:r w:rsidRPr="008F0DA6">
        <w:rPr>
          <w:color w:val="000000"/>
        </w:rPr>
        <w:t>[9]</w:t>
      </w:r>
      <w:r w:rsidRPr="008F0DA6">
        <w:t xml:space="preserve">. </w:t>
      </w:r>
    </w:p>
    <w:p w14:paraId="67BC419B" w14:textId="77777777" w:rsidR="00D61F9D" w:rsidRPr="008F0DA6" w:rsidRDefault="008F0DA6">
      <w:pPr>
        <w:pStyle w:val="Heading3"/>
        <w:spacing w:line="240" w:lineRule="auto"/>
      </w:pPr>
      <w:bookmarkStart w:id="4" w:name="_hsiigmqahd27" w:colFirst="0" w:colLast="0"/>
      <w:bookmarkEnd w:id="4"/>
      <w:r w:rsidRPr="008F0DA6">
        <w:t>Young Mania Rating Scale (YMRS)</w:t>
      </w:r>
    </w:p>
    <w:p w14:paraId="67BC419C" w14:textId="77777777" w:rsidR="00D61F9D" w:rsidRPr="008F0DA6" w:rsidRDefault="008F0DA6">
      <w:pPr>
        <w:spacing w:line="240" w:lineRule="auto"/>
        <w:ind w:left="0"/>
      </w:pPr>
      <w:r w:rsidRPr="008F0DA6">
        <w:t xml:space="preserve">The YMRS is an 11-item scale designed to assess manic symptoms </w:t>
      </w:r>
      <w:r w:rsidRPr="008F0DA6">
        <w:rPr>
          <w:color w:val="000000"/>
        </w:rPr>
        <w:t>[10]</w:t>
      </w:r>
      <w:r w:rsidRPr="008F0DA6">
        <w:t>. The original study reported high interrater reliability for the total score (</w:t>
      </w:r>
      <w:r w:rsidRPr="008F0DA6">
        <w:rPr>
          <w:i/>
        </w:rPr>
        <w:t>r</w:t>
      </w:r>
      <w:r w:rsidRPr="008F0DA6">
        <w:t xml:space="preserve"> = 0.93) and acceptable reliability for individual items (</w:t>
      </w:r>
      <w:r w:rsidRPr="008F0DA6">
        <w:rPr>
          <w:i/>
        </w:rPr>
        <w:t>r</w:t>
      </w:r>
      <w:r w:rsidRPr="008F0DA6">
        <w:t xml:space="preserve"> = 0.66 – 0.92). Concurrent validity was established through significant correlations between the YMRS and other mania scales (</w:t>
      </w:r>
      <w:r w:rsidRPr="008F0DA6">
        <w:rPr>
          <w:i/>
        </w:rPr>
        <w:t>r</w:t>
      </w:r>
      <w:r w:rsidRPr="008F0DA6">
        <w:t xml:space="preserve"> = 0.71 – 0.88). Additionally, the YMRS total score correlated significantly with clinicians’ global ratings of mania severity (</w:t>
      </w:r>
      <w:r w:rsidRPr="008F0DA6">
        <w:rPr>
          <w:i/>
        </w:rPr>
        <w:t>r</w:t>
      </w:r>
      <w:r w:rsidRPr="008F0DA6">
        <w:t xml:space="preserve"> = 0.89). In the current study, the scale exhibited a McDonald’s </w:t>
      </w:r>
      <w:proofErr w:type="spellStart"/>
      <w:r w:rsidRPr="008F0DA6">
        <w:t>ω</w:t>
      </w:r>
      <w:r w:rsidRPr="008F0DA6">
        <w:rPr>
          <w:vertAlign w:val="subscript"/>
        </w:rPr>
        <w:t>t</w:t>
      </w:r>
      <w:proofErr w:type="spellEnd"/>
      <w:r w:rsidRPr="008F0DA6">
        <w:rPr>
          <w:rFonts w:eastAsia="Gungsuh"/>
        </w:rPr>
        <w:t xml:space="preserve"> of 0.92. We adopted a cutoff of ≥25 to indic</w:t>
      </w:r>
      <w:r w:rsidRPr="008F0DA6">
        <w:rPr>
          <w:rFonts w:eastAsia="Gungsuh"/>
        </w:rPr>
        <w:t xml:space="preserve">ate a probable manic condition, as suggested by Lukasiewicz </w:t>
      </w:r>
      <w:r w:rsidRPr="008F0DA6">
        <w:rPr>
          <w:i/>
        </w:rPr>
        <w:t>et al.</w:t>
      </w:r>
      <w:r w:rsidRPr="008F0DA6">
        <w:t xml:space="preserve"> </w:t>
      </w:r>
      <w:r w:rsidRPr="008F0DA6">
        <w:rPr>
          <w:color w:val="000000"/>
        </w:rPr>
        <w:t>[11]</w:t>
      </w:r>
      <w:r w:rsidRPr="008F0DA6">
        <w:t xml:space="preserve">. </w:t>
      </w:r>
    </w:p>
    <w:p w14:paraId="67BC419D" w14:textId="77777777" w:rsidR="00D61F9D" w:rsidRPr="008F0DA6" w:rsidRDefault="008F0DA6">
      <w:pPr>
        <w:pStyle w:val="Heading3"/>
        <w:spacing w:line="240" w:lineRule="auto"/>
      </w:pPr>
      <w:bookmarkStart w:id="5" w:name="_gl9r2i9tzutg" w:colFirst="0" w:colLast="0"/>
      <w:bookmarkEnd w:id="5"/>
      <w:r w:rsidRPr="008F0DA6">
        <w:t xml:space="preserve">Kessler Psychological Distress Scale 6-item scale (K6) </w:t>
      </w:r>
    </w:p>
    <w:p w14:paraId="67BC419E" w14:textId="77777777" w:rsidR="00D61F9D" w:rsidRPr="008F0DA6" w:rsidRDefault="008F0DA6">
      <w:pPr>
        <w:spacing w:line="240" w:lineRule="auto"/>
        <w:ind w:left="0"/>
      </w:pPr>
      <w:r w:rsidRPr="008F0DA6">
        <w:t xml:space="preserve">The K6 is a 6-item measure designed to assess general psychological distress </w:t>
      </w:r>
      <w:r w:rsidRPr="008F0DA6">
        <w:rPr>
          <w:color w:val="000000"/>
        </w:rPr>
        <w:t>[12]</w:t>
      </w:r>
      <w:r w:rsidRPr="008F0DA6">
        <w:t>. The original validation study found high internal consistency (</w:t>
      </w:r>
      <w:r w:rsidRPr="008F0DA6">
        <w:rPr>
          <w:i/>
        </w:rPr>
        <w:t>α</w:t>
      </w:r>
      <w:r w:rsidRPr="008F0DA6">
        <w:t xml:space="preserve"> = 0.84) and a one-factor structure </w:t>
      </w:r>
      <w:r w:rsidRPr="008F0DA6">
        <w:rPr>
          <w:color w:val="000000"/>
        </w:rPr>
        <w:t>[13]</w:t>
      </w:r>
      <w:r w:rsidRPr="008F0DA6">
        <w:t>. A Chinese version demonstrated adequate test-retest reliability (</w:t>
      </w:r>
      <w:r w:rsidRPr="008F0DA6">
        <w:rPr>
          <w:i/>
        </w:rPr>
        <w:t xml:space="preserve">r </w:t>
      </w:r>
      <w:r w:rsidRPr="008F0DA6">
        <w:t>= 0.79) and internal consistency (</w:t>
      </w:r>
      <w:r w:rsidRPr="008F0DA6">
        <w:rPr>
          <w:i/>
        </w:rPr>
        <w:t>α</w:t>
      </w:r>
      <w:r w:rsidRPr="008F0DA6">
        <w:t xml:space="preserve"> = 0.84) </w:t>
      </w:r>
      <w:r w:rsidRPr="008F0DA6">
        <w:rPr>
          <w:color w:val="000000"/>
        </w:rPr>
        <w:t>[14]</w:t>
      </w:r>
      <w:r w:rsidRPr="008F0DA6">
        <w:rPr>
          <w:rFonts w:eastAsia="Gungsuh"/>
        </w:rPr>
        <w:t xml:space="preserve">. Using CIDI diagnoses, an optimal cutoff of ≥13 exhibited good specificity (96%) and a classification accuracy (92%) for detecting serious mental illness </w:t>
      </w:r>
      <w:r w:rsidRPr="008F0DA6">
        <w:rPr>
          <w:color w:val="000000"/>
        </w:rPr>
        <w:t>[15]</w:t>
      </w:r>
      <w:r w:rsidRPr="008F0DA6">
        <w:t xml:space="preserve">. In the current study, the scale displayed a McDonald's </w:t>
      </w:r>
      <w:proofErr w:type="spellStart"/>
      <w:r w:rsidRPr="008F0DA6">
        <w:t>ω</w:t>
      </w:r>
      <w:r w:rsidRPr="008F0DA6">
        <w:rPr>
          <w:vertAlign w:val="subscript"/>
        </w:rPr>
        <w:t>t</w:t>
      </w:r>
      <w:proofErr w:type="spellEnd"/>
      <w:r w:rsidRPr="008F0DA6">
        <w:rPr>
          <w:rFonts w:eastAsia="Gungsuh"/>
        </w:rPr>
        <w:t xml:space="preserve"> of 0.94, and we adopted a cutoff of ≥13 to indicate a condition of severe mental distress.</w:t>
      </w:r>
    </w:p>
    <w:p w14:paraId="67BC419F" w14:textId="77777777" w:rsidR="00D61F9D" w:rsidRPr="008F0DA6" w:rsidRDefault="008F0DA6">
      <w:pPr>
        <w:pStyle w:val="Heading3"/>
        <w:spacing w:line="240" w:lineRule="auto"/>
      </w:pPr>
      <w:bookmarkStart w:id="6" w:name="_7th1gkb0a0ai" w:colFirst="0" w:colLast="0"/>
      <w:bookmarkEnd w:id="6"/>
      <w:r w:rsidRPr="008F0DA6">
        <w:t>Prodromal Questionnaire - Brief Version (PQ-B) scale</w:t>
      </w:r>
    </w:p>
    <w:p w14:paraId="67BC41A0" w14:textId="77777777" w:rsidR="00D61F9D" w:rsidRPr="008F0DA6" w:rsidRDefault="008F0DA6">
      <w:pPr>
        <w:spacing w:line="240" w:lineRule="auto"/>
        <w:ind w:left="0"/>
      </w:pPr>
      <w:r w:rsidRPr="008F0DA6">
        <w:t xml:space="preserve">The PQ-B is a 21-item questionnaire designed to evaluate psychosis risk by assessing the presence of 21 positive symptoms experienced in the past month (1 = yes and 0 = no) and rating the distress associated with each symptom on a 5-point scale (1 = Strongly disagree to 5 = Strongly agree) </w:t>
      </w:r>
      <w:r w:rsidRPr="008F0DA6">
        <w:rPr>
          <w:color w:val="000000"/>
        </w:rPr>
        <w:t>[16]</w:t>
      </w:r>
      <w:r w:rsidRPr="008F0DA6">
        <w:t>. The Chinese version demonstrated adequate internal consistency (</w:t>
      </w:r>
      <w:r w:rsidRPr="008F0DA6">
        <w:rPr>
          <w:i/>
        </w:rPr>
        <w:t xml:space="preserve">α </w:t>
      </w:r>
      <w:r w:rsidRPr="008F0DA6">
        <w:t>= 0.76) and test-retest reliability (</w:t>
      </w:r>
      <w:r w:rsidRPr="008F0DA6">
        <w:rPr>
          <w:i/>
        </w:rPr>
        <w:t xml:space="preserve">r </w:t>
      </w:r>
      <w:r w:rsidRPr="008F0DA6">
        <w:t xml:space="preserve">= 0.82) in a clinical sample </w:t>
      </w:r>
      <w:r w:rsidRPr="008F0DA6">
        <w:rPr>
          <w:color w:val="000000"/>
        </w:rPr>
        <w:t>[17]</w:t>
      </w:r>
      <w:r w:rsidRPr="008F0DA6">
        <w:rPr>
          <w:rFonts w:eastAsia="Gungsuh"/>
        </w:rPr>
        <w:t xml:space="preserve">. Using Structured Interview for Prodromal Syndromes (SIPS) diagnoses, optimal cutoffs were identified as ≥7 for the item score (80% sensitivity) and ≥24 for the distress score (82% sensitivity) in Chinese outpatients </w:t>
      </w:r>
      <w:r w:rsidRPr="008F0DA6">
        <w:rPr>
          <w:color w:val="000000"/>
        </w:rPr>
        <w:t>[17]</w:t>
      </w:r>
      <w:r w:rsidRPr="008F0DA6">
        <w:t xml:space="preserve">. In the current study, the item and distress scales exhibited McDonald’s </w:t>
      </w:r>
      <w:proofErr w:type="spellStart"/>
      <w:r w:rsidRPr="008F0DA6">
        <w:t>ω</w:t>
      </w:r>
      <w:r w:rsidRPr="008F0DA6">
        <w:rPr>
          <w:vertAlign w:val="subscript"/>
        </w:rPr>
        <w:t>t</w:t>
      </w:r>
      <w:proofErr w:type="spellEnd"/>
      <w:r w:rsidRPr="008F0DA6">
        <w:rPr>
          <w:rFonts w:eastAsia="Gungsuh"/>
        </w:rPr>
        <w:t xml:space="preserve"> values of 0.85 and 0.87, respectively. We also adopted a cutoff of ≥7</w:t>
      </w:r>
      <w:r w:rsidRPr="008F0DA6">
        <w:rPr>
          <w:rFonts w:eastAsia="Gungsuh"/>
        </w:rPr>
        <w:t xml:space="preserve"> for the item score or ≥24 for the distress scores to indicate a probable clinical high risk for psychosis condition.</w:t>
      </w:r>
    </w:p>
    <w:p w14:paraId="67BC41A1" w14:textId="77777777" w:rsidR="00D61F9D" w:rsidRPr="008F0DA6" w:rsidRDefault="008F0DA6">
      <w:pPr>
        <w:pStyle w:val="Heading3"/>
        <w:spacing w:line="240" w:lineRule="auto"/>
      </w:pPr>
      <w:bookmarkStart w:id="7" w:name="_zhccqxrr3omi" w:colFirst="0" w:colLast="0"/>
      <w:bookmarkEnd w:id="7"/>
      <w:r w:rsidRPr="008F0DA6">
        <w:t>Short-Form Health Survey 12-item (SF-12)</w:t>
      </w:r>
    </w:p>
    <w:p w14:paraId="67BC41A2" w14:textId="77777777" w:rsidR="00D61F9D" w:rsidRPr="008F0DA6" w:rsidRDefault="008F0DA6">
      <w:pPr>
        <w:spacing w:line="240" w:lineRule="auto"/>
        <w:ind w:left="0"/>
      </w:pPr>
      <w:r w:rsidRPr="008F0DA6">
        <w:t xml:space="preserve">The SF-12 is a 12-item short form of the SF-36, designed to measure health status as an indicator of quality of life </w:t>
      </w:r>
      <w:r w:rsidRPr="008F0DA6">
        <w:rPr>
          <w:color w:val="000000"/>
        </w:rPr>
        <w:t>[18]</w:t>
      </w:r>
      <w:r w:rsidRPr="008F0DA6">
        <w:rPr>
          <w:rFonts w:eastAsia="Cardo"/>
        </w:rPr>
        <w:t xml:space="preserve">. Items are transformed into an index score ranging from 0 (the worst) to 1 (the best). In the current study, the scale exhibited a McDonald's </w:t>
      </w:r>
      <w:proofErr w:type="spellStart"/>
      <w:r w:rsidRPr="008F0DA6">
        <w:rPr>
          <w:rFonts w:eastAsia="Cardo"/>
        </w:rPr>
        <w:t>ωt</w:t>
      </w:r>
      <w:proofErr w:type="spellEnd"/>
      <w:r w:rsidRPr="008F0DA6">
        <w:rPr>
          <w:rFonts w:eastAsia="Cardo"/>
        </w:rPr>
        <w:t xml:space="preserve"> of 0.72. We adopted a median cutoff of ≤0.79 to indicate a condition of poorer quality of life.</w:t>
      </w:r>
    </w:p>
    <w:p w14:paraId="67BC41A3" w14:textId="77777777" w:rsidR="00D61F9D" w:rsidRPr="008F0DA6" w:rsidRDefault="008F0DA6">
      <w:pPr>
        <w:pStyle w:val="Heading3"/>
        <w:spacing w:line="240" w:lineRule="auto"/>
      </w:pPr>
      <w:bookmarkStart w:id="8" w:name="_yz6b2uyu6wz" w:colFirst="0" w:colLast="0"/>
      <w:bookmarkEnd w:id="8"/>
      <w:r w:rsidRPr="008F0DA6">
        <w:t>Epworth Sleepiness Scale (ESS)</w:t>
      </w:r>
    </w:p>
    <w:p w14:paraId="67BC41A4" w14:textId="77777777" w:rsidR="00D61F9D" w:rsidRPr="008F0DA6" w:rsidRDefault="008F0DA6">
      <w:pPr>
        <w:spacing w:line="240" w:lineRule="auto"/>
        <w:ind w:left="0"/>
      </w:pPr>
      <w:r w:rsidRPr="008F0DA6">
        <w:t>The ESS is an 8-item questionnaire designed to measure daytime sleepiness, exhibiting good internal consistency (</w:t>
      </w:r>
      <w:r w:rsidRPr="008F0DA6">
        <w:rPr>
          <w:i/>
        </w:rPr>
        <w:t>α</w:t>
      </w:r>
      <w:r w:rsidRPr="008F0DA6">
        <w:t xml:space="preserve"> = 0.82) </w:t>
      </w:r>
      <w:r w:rsidRPr="008F0DA6">
        <w:rPr>
          <w:color w:val="000000"/>
        </w:rPr>
        <w:t>[19]</w:t>
      </w:r>
      <w:r w:rsidRPr="008F0DA6">
        <w:t xml:space="preserve"> and significant correlations with sleep latency measures </w:t>
      </w:r>
      <w:r w:rsidRPr="008F0DA6">
        <w:rPr>
          <w:color w:val="000000"/>
        </w:rPr>
        <w:t>[20]</w:t>
      </w:r>
      <w:r w:rsidRPr="008F0DA6">
        <w:t>.The Chinese version also demonstrated good internal consistency (</w:t>
      </w:r>
      <w:r w:rsidRPr="008F0DA6">
        <w:rPr>
          <w:i/>
        </w:rPr>
        <w:t>α</w:t>
      </w:r>
      <w:r w:rsidRPr="008F0DA6">
        <w:t xml:space="preserve"> = 0.81), test-retest reliability (</w:t>
      </w:r>
      <w:r w:rsidRPr="008F0DA6">
        <w:rPr>
          <w:i/>
        </w:rPr>
        <w:t>r</w:t>
      </w:r>
      <w:r w:rsidRPr="008F0DA6">
        <w:t xml:space="preserve"> = 0.74), and a significant correlation with respiratory disturbance (</w:t>
      </w:r>
      <w:r w:rsidRPr="008F0DA6">
        <w:rPr>
          <w:i/>
        </w:rPr>
        <w:t>r</w:t>
      </w:r>
      <w:r w:rsidRPr="008F0DA6">
        <w:t xml:space="preserve"> = 0.22)</w:t>
      </w:r>
      <w:r w:rsidRPr="008F0DA6">
        <w:rPr>
          <w:color w:val="000000"/>
        </w:rPr>
        <w:t>[21]</w:t>
      </w:r>
      <w:r w:rsidRPr="008F0DA6">
        <w:t xml:space="preserve">. In the current study, the scale displayed a McDonald's </w:t>
      </w:r>
      <w:proofErr w:type="spellStart"/>
      <w:r w:rsidRPr="008F0DA6">
        <w:t>ω</w:t>
      </w:r>
      <w:r w:rsidRPr="008F0DA6">
        <w:rPr>
          <w:vertAlign w:val="subscript"/>
        </w:rPr>
        <w:t>t</w:t>
      </w:r>
      <w:proofErr w:type="spellEnd"/>
      <w:r w:rsidRPr="008F0DA6">
        <w:rPr>
          <w:rFonts w:eastAsia="Gungsuh"/>
        </w:rPr>
        <w:t xml:space="preserve"> of 0.84. We adopted a cutoff of ≥10 to indicate daytime sleepiness at a potential clinical level </w:t>
      </w:r>
      <w:r w:rsidRPr="008F0DA6">
        <w:rPr>
          <w:color w:val="000000"/>
        </w:rPr>
        <w:t>[22]</w:t>
      </w:r>
      <w:r w:rsidRPr="008F0DA6">
        <w:t>.</w:t>
      </w:r>
    </w:p>
    <w:p w14:paraId="67BC41A5" w14:textId="77777777" w:rsidR="00D61F9D" w:rsidRPr="008F0DA6" w:rsidRDefault="008F0DA6">
      <w:pPr>
        <w:pStyle w:val="Heading3"/>
        <w:spacing w:line="240" w:lineRule="auto"/>
      </w:pPr>
      <w:bookmarkStart w:id="9" w:name="_ozaxoteuq550" w:colFirst="0" w:colLast="0"/>
      <w:bookmarkEnd w:id="9"/>
      <w:r w:rsidRPr="008F0DA6">
        <w:t>Full day productivity loss</w:t>
      </w:r>
    </w:p>
    <w:p w14:paraId="67BC41A6" w14:textId="77777777" w:rsidR="00D61F9D" w:rsidRPr="008F0DA6" w:rsidRDefault="008F0DA6">
      <w:pPr>
        <w:spacing w:line="240" w:lineRule="auto"/>
        <w:ind w:left="0"/>
      </w:pPr>
      <w:r w:rsidRPr="008F0DA6">
        <w:t xml:space="preserve">The full-day productivity loss associated with depressive or anxiety symptoms was evaluated using a single item from the K6 scale </w:t>
      </w:r>
      <w:r w:rsidRPr="008F0DA6">
        <w:rPr>
          <w:color w:val="000000"/>
        </w:rPr>
        <w:t>[12]</w:t>
      </w:r>
      <w:r w:rsidRPr="008F0DA6">
        <w:rPr>
          <w:rFonts w:eastAsia="Gungsuh"/>
        </w:rPr>
        <w:t xml:space="preserve">. This item </w:t>
      </w:r>
      <w:proofErr w:type="spellStart"/>
      <w:r w:rsidRPr="008F0DA6">
        <w:rPr>
          <w:rFonts w:eastAsia="Gungsuh"/>
        </w:rPr>
        <w:t>inquires</w:t>
      </w:r>
      <w:proofErr w:type="spellEnd"/>
      <w:r w:rsidRPr="008F0DA6">
        <w:rPr>
          <w:rFonts w:eastAsia="Gungsuh"/>
        </w:rPr>
        <w:t xml:space="preserve"> about the number of days in the past 30 when participants were completely unable to work or carry out their normal activities due to the experience of depressive or anxiety symptoms. Respondents are asked to provide the number of days that meet this criterion. In the current study, due to the highly right-skewed data distribution, we adopted a cutoff of ≥1 day to indicate a condition of compromised functioning.</w:t>
      </w:r>
    </w:p>
    <w:p w14:paraId="67BC41A7" w14:textId="77777777" w:rsidR="00D61F9D" w:rsidRPr="008F0DA6" w:rsidRDefault="008F0DA6">
      <w:pPr>
        <w:pStyle w:val="Heading3"/>
        <w:spacing w:line="240" w:lineRule="auto"/>
      </w:pPr>
      <w:bookmarkStart w:id="10" w:name="_xrhbvj3n94dj" w:colFirst="0" w:colLast="0"/>
      <w:bookmarkEnd w:id="10"/>
      <w:r w:rsidRPr="008F0DA6">
        <w:t>Schizotypal Personality Questionnaire Brief (SPQ‑B)</w:t>
      </w:r>
    </w:p>
    <w:p w14:paraId="67BC41A8" w14:textId="77777777" w:rsidR="00D61F9D" w:rsidRPr="008F0DA6" w:rsidRDefault="008F0DA6">
      <w:pPr>
        <w:spacing w:line="240" w:lineRule="auto"/>
        <w:ind w:left="0"/>
      </w:pPr>
      <w:r w:rsidRPr="008F0DA6">
        <w:t xml:space="preserve">The Schizotypal Personality Questionnaire-Brief (SPQ-B) is a 22-item self-report scale designed to screen for schizotypal personality traits </w:t>
      </w:r>
      <w:r w:rsidRPr="008F0DA6">
        <w:rPr>
          <w:color w:val="000000"/>
        </w:rPr>
        <w:t>[23]</w:t>
      </w:r>
      <w:r w:rsidRPr="008F0DA6">
        <w:t xml:space="preserve">. The Chinese version (CSPQ-B) displayed good internal consistency (α = 0.76) and test-retest reliability (ICC = 0.82) </w:t>
      </w:r>
      <w:r w:rsidRPr="008F0DA6">
        <w:rPr>
          <w:color w:val="000000"/>
        </w:rPr>
        <w:t>[24]</w:t>
      </w:r>
      <w:r w:rsidRPr="008F0DA6">
        <w:t>. I</w:t>
      </w:r>
      <w:r w:rsidRPr="008F0DA6">
        <w:rPr>
          <w:rFonts w:eastAsia="Cardo"/>
        </w:rPr>
        <w:t xml:space="preserve">n the current study, the scale exhibited a McDonald's </w:t>
      </w:r>
      <w:proofErr w:type="spellStart"/>
      <w:r w:rsidRPr="008F0DA6">
        <w:rPr>
          <w:rFonts w:eastAsia="Cardo"/>
        </w:rPr>
        <w:t>ωt</w:t>
      </w:r>
      <w:proofErr w:type="spellEnd"/>
      <w:r w:rsidRPr="008F0DA6">
        <w:rPr>
          <w:rFonts w:eastAsia="Cardo"/>
        </w:rPr>
        <w:t xml:space="preserve"> of 0.87. We adopted a cutoff of ≥17 to indicate high </w:t>
      </w:r>
      <w:proofErr w:type="spellStart"/>
      <w:r w:rsidRPr="008F0DA6">
        <w:rPr>
          <w:rFonts w:eastAsia="Cardo"/>
        </w:rPr>
        <w:t>schizotypy</w:t>
      </w:r>
      <w:proofErr w:type="spellEnd"/>
      <w:r w:rsidRPr="008F0DA6">
        <w:rPr>
          <w:rFonts w:eastAsia="Cardo"/>
        </w:rPr>
        <w:t xml:space="preserve">, as suggested by Raine </w:t>
      </w:r>
      <w:r w:rsidRPr="008F0DA6">
        <w:rPr>
          <w:color w:val="000000"/>
        </w:rPr>
        <w:t>[25]</w:t>
      </w:r>
      <w:r w:rsidRPr="008F0DA6">
        <w:t xml:space="preserve"> and Raine and </w:t>
      </w:r>
      <w:proofErr w:type="spellStart"/>
      <w:r w:rsidRPr="008F0DA6">
        <w:t>Benishay</w:t>
      </w:r>
      <w:proofErr w:type="spellEnd"/>
      <w:r w:rsidRPr="008F0DA6">
        <w:t xml:space="preserve"> </w:t>
      </w:r>
      <w:r w:rsidRPr="008F0DA6">
        <w:rPr>
          <w:color w:val="000000"/>
        </w:rPr>
        <w:t>[23]</w:t>
      </w:r>
      <w:r w:rsidRPr="008F0DA6">
        <w:t xml:space="preserve">.  </w:t>
      </w:r>
    </w:p>
    <w:p w14:paraId="67BC41A9" w14:textId="77777777" w:rsidR="00D61F9D" w:rsidRPr="008F0DA6" w:rsidRDefault="008F0DA6">
      <w:pPr>
        <w:pStyle w:val="Heading3"/>
        <w:spacing w:line="240" w:lineRule="auto"/>
      </w:pPr>
      <w:bookmarkStart w:id="11" w:name="_zgvejvn5f30h" w:colFirst="0" w:colLast="0"/>
      <w:bookmarkEnd w:id="11"/>
      <w:r w:rsidRPr="008F0DA6">
        <w:t>Beck Hopelessness Scale (BHS)</w:t>
      </w:r>
    </w:p>
    <w:p w14:paraId="67BC41AA" w14:textId="77777777" w:rsidR="00D61F9D" w:rsidRPr="008F0DA6" w:rsidRDefault="008F0DA6">
      <w:pPr>
        <w:spacing w:line="240" w:lineRule="auto"/>
        <w:ind w:left="0"/>
      </w:pPr>
      <w:r w:rsidRPr="008F0DA6">
        <w:t xml:space="preserve">The BHS utilises a 5-point scale to assess pessimism and has exhibited good reliability and validity </w:t>
      </w:r>
      <w:r w:rsidRPr="008F0DA6">
        <w:rPr>
          <w:color w:val="000000"/>
        </w:rPr>
        <w:t>[26,27]</w:t>
      </w:r>
      <w:r w:rsidRPr="008F0DA6">
        <w:t>. The Chinese version also demonstrates good internal consistency (</w:t>
      </w:r>
      <w:r w:rsidRPr="008F0DA6">
        <w:rPr>
          <w:i/>
        </w:rPr>
        <w:t>α</w:t>
      </w:r>
      <w:r w:rsidRPr="008F0DA6">
        <w:t xml:space="preserve"> = 0.85), test-retest reliability (</w:t>
      </w:r>
      <w:r w:rsidRPr="008F0DA6">
        <w:rPr>
          <w:i/>
        </w:rPr>
        <w:t xml:space="preserve">r </w:t>
      </w:r>
      <w:r w:rsidRPr="008F0DA6">
        <w:t xml:space="preserve">= 0.80), and a 2-factor structure consisting of negative expectation and loss of motivation, which are associated with depression, suicidal ideation, and emotional discomfort </w:t>
      </w:r>
      <w:r w:rsidRPr="008F0DA6">
        <w:rPr>
          <w:color w:val="000000"/>
        </w:rPr>
        <w:t>[28]</w:t>
      </w:r>
      <w:r w:rsidRPr="008F0DA6">
        <w:t xml:space="preserve">. In the current study, the scale displayed a McDonald's </w:t>
      </w:r>
      <w:proofErr w:type="spellStart"/>
      <w:r w:rsidRPr="008F0DA6">
        <w:t>ω</w:t>
      </w:r>
      <w:r w:rsidRPr="008F0DA6">
        <w:rPr>
          <w:vertAlign w:val="subscript"/>
        </w:rPr>
        <w:t>t</w:t>
      </w:r>
      <w:proofErr w:type="spellEnd"/>
      <w:r w:rsidRPr="008F0DA6">
        <w:rPr>
          <w:rFonts w:eastAsia="Gungsuh"/>
        </w:rPr>
        <w:t xml:space="preserve"> of 0.85. We adopted a cutoff of ≥9 to indicate moderate hopelessness </w:t>
      </w:r>
      <w:r w:rsidRPr="008F0DA6">
        <w:rPr>
          <w:color w:val="000000"/>
        </w:rPr>
        <w:t>[29]</w:t>
      </w:r>
      <w:r w:rsidRPr="008F0DA6">
        <w:t xml:space="preserve">.  </w:t>
      </w:r>
    </w:p>
    <w:p w14:paraId="67BC41AB" w14:textId="77777777" w:rsidR="00D61F9D" w:rsidRPr="008F0DA6" w:rsidRDefault="008F0DA6">
      <w:pPr>
        <w:pStyle w:val="Heading3"/>
        <w:spacing w:line="240" w:lineRule="auto"/>
      </w:pPr>
      <w:bookmarkStart w:id="12" w:name="_52i13p218asn" w:colFirst="0" w:colLast="0"/>
      <w:bookmarkEnd w:id="12"/>
      <w:r w:rsidRPr="008F0DA6">
        <w:t>Buss-Perry Aggression Questionnaire (BPAQ)</w:t>
      </w:r>
    </w:p>
    <w:p w14:paraId="67BC41AC" w14:textId="77777777" w:rsidR="00D61F9D" w:rsidRPr="008F0DA6" w:rsidRDefault="008F0DA6">
      <w:pPr>
        <w:spacing w:line="240" w:lineRule="auto"/>
        <w:ind w:left="0"/>
      </w:pPr>
      <w:r w:rsidRPr="008F0DA6">
        <w:t>The BPAQ evaluates four aspects of aggression: physical, verbal, anger, and hostility, demonstrating good internal consistency (</w:t>
      </w:r>
      <w:r w:rsidRPr="008F0DA6">
        <w:rPr>
          <w:i/>
        </w:rPr>
        <w:t>α</w:t>
      </w:r>
      <w:r w:rsidRPr="008F0DA6">
        <w:t xml:space="preserve"> = 0.72 – 0.85) and test-retest reliability (</w:t>
      </w:r>
      <w:r w:rsidRPr="008F0DA6">
        <w:rPr>
          <w:i/>
        </w:rPr>
        <w:t>r</w:t>
      </w:r>
      <w:r w:rsidRPr="008F0DA6">
        <w:t xml:space="preserve"> = 0.72 – 0.80) </w:t>
      </w:r>
      <w:r w:rsidRPr="008F0DA6">
        <w:rPr>
          <w:color w:val="000000"/>
        </w:rPr>
        <w:t>[30]</w:t>
      </w:r>
      <w:r w:rsidRPr="008F0DA6">
        <w:t>. Criterion validity was established through correlations with peer nominations of aggression (</w:t>
      </w:r>
      <w:r w:rsidRPr="008F0DA6">
        <w:rPr>
          <w:i/>
        </w:rPr>
        <w:t>r</w:t>
      </w:r>
      <w:r w:rsidRPr="008F0DA6">
        <w:t xml:space="preserve"> = 0.20 – 0.45). The Chinese version also exhibited adequate internal consistency (</w:t>
      </w:r>
      <w:r w:rsidRPr="008F0DA6">
        <w:rPr>
          <w:i/>
        </w:rPr>
        <w:t>α</w:t>
      </w:r>
      <w:r w:rsidRPr="008F0DA6">
        <w:t xml:space="preserve"> = 0.56 – 0.74) and convergent validity with anger rumination (</w:t>
      </w:r>
      <w:r w:rsidRPr="008F0DA6">
        <w:rPr>
          <w:i/>
        </w:rPr>
        <w:t>r</w:t>
      </w:r>
      <w:r w:rsidRPr="008F0DA6">
        <w:t xml:space="preserve"> = 0.16 – 0.39), while confirmatory factor analysis supported the four-factor structure </w:t>
      </w:r>
      <w:r w:rsidRPr="008F0DA6">
        <w:rPr>
          <w:color w:val="000000"/>
        </w:rPr>
        <w:t>[31]</w:t>
      </w:r>
      <w:r w:rsidRPr="008F0DA6">
        <w:t xml:space="preserve">. In the current study, the scale displayed a McDonald's </w:t>
      </w:r>
      <w:proofErr w:type="spellStart"/>
      <w:r w:rsidRPr="008F0DA6">
        <w:t>ω</w:t>
      </w:r>
      <w:r w:rsidRPr="008F0DA6">
        <w:rPr>
          <w:vertAlign w:val="subscript"/>
        </w:rPr>
        <w:t>t</w:t>
      </w:r>
      <w:proofErr w:type="spellEnd"/>
      <w:r w:rsidRPr="008F0DA6">
        <w:rPr>
          <w:rFonts w:eastAsia="Gungsuh"/>
        </w:rPr>
        <w:t xml:space="preserve"> of 0.90. We adopted a median cutoff of ≥19 to ind</w:t>
      </w:r>
      <w:r w:rsidRPr="008F0DA6">
        <w:rPr>
          <w:rFonts w:eastAsia="Gungsuh"/>
        </w:rPr>
        <w:t>icate moderate aggression.</w:t>
      </w:r>
    </w:p>
    <w:p w14:paraId="67BC41AD" w14:textId="77777777" w:rsidR="00D61F9D" w:rsidRPr="008F0DA6" w:rsidRDefault="008F0DA6">
      <w:pPr>
        <w:pStyle w:val="Heading3"/>
        <w:spacing w:line="240" w:lineRule="auto"/>
      </w:pPr>
      <w:bookmarkStart w:id="13" w:name="_cmgbyzgo0w8q" w:colFirst="0" w:colLast="0"/>
      <w:bookmarkEnd w:id="13"/>
      <w:r w:rsidRPr="008F0DA6">
        <w:t>Barratt Impulsiveness Scale Version 11 (BIS-11)</w:t>
      </w:r>
    </w:p>
    <w:p w14:paraId="67BC41AE" w14:textId="77777777" w:rsidR="00D61F9D" w:rsidRPr="008F0DA6" w:rsidRDefault="008F0DA6">
      <w:pPr>
        <w:spacing w:line="240" w:lineRule="auto"/>
        <w:ind w:left="0"/>
      </w:pPr>
      <w:r w:rsidRPr="008F0DA6">
        <w:t xml:space="preserve">The original BIS-11 is a 30-item questionnaire designed to assess impulsiveness across three components: attentional, motor, and non-planning </w:t>
      </w:r>
      <w:r w:rsidRPr="008F0DA6">
        <w:rPr>
          <w:color w:val="000000"/>
        </w:rPr>
        <w:t>[32]</w:t>
      </w:r>
      <w:r w:rsidRPr="008F0DA6">
        <w:t xml:space="preserve">. The BIS-11 has demonstrated good internal consistency (α = 0.82) and test-retest reliability (r = 0.83) in American samples </w:t>
      </w:r>
      <w:r w:rsidRPr="008F0DA6">
        <w:rPr>
          <w:color w:val="000000"/>
        </w:rPr>
        <w:t>[33]</w:t>
      </w:r>
      <w:r w:rsidRPr="008F0DA6">
        <w:t>. Similarly, the Chinese version exhibits good internal consistency (</w:t>
      </w:r>
      <w:r w:rsidRPr="008F0DA6">
        <w:rPr>
          <w:i/>
        </w:rPr>
        <w:t>α</w:t>
      </w:r>
      <w:r w:rsidRPr="008F0DA6">
        <w:t xml:space="preserve"> = 0.80) and test-retest reliability (</w:t>
      </w:r>
      <w:r w:rsidRPr="008F0DA6">
        <w:rPr>
          <w:i/>
        </w:rPr>
        <w:t>r</w:t>
      </w:r>
      <w:r w:rsidRPr="008F0DA6">
        <w:t xml:space="preserve"> = 0.70) </w:t>
      </w:r>
      <w:r w:rsidRPr="008F0DA6">
        <w:rPr>
          <w:color w:val="000000"/>
        </w:rPr>
        <w:t>[34]</w:t>
      </w:r>
      <w:r w:rsidRPr="008F0DA6">
        <w:t xml:space="preserve">. In the current study, the scale displayed a McDonald’s </w:t>
      </w:r>
      <w:proofErr w:type="spellStart"/>
      <w:r w:rsidRPr="008F0DA6">
        <w:t>ω</w:t>
      </w:r>
      <w:r w:rsidRPr="008F0DA6">
        <w:rPr>
          <w:vertAlign w:val="subscript"/>
        </w:rPr>
        <w:t>t</w:t>
      </w:r>
      <w:proofErr w:type="spellEnd"/>
      <w:r w:rsidRPr="008F0DA6">
        <w:rPr>
          <w:rFonts w:eastAsia="Gungsuh"/>
        </w:rPr>
        <w:t xml:space="preserve"> of 0.74. We adopted a cut-off of ≥72 to indicate a highly impulsive condition, as suggested by Stanford</w:t>
      </w:r>
      <w:r w:rsidRPr="008F0DA6">
        <w:rPr>
          <w:i/>
        </w:rPr>
        <w:t xml:space="preserve"> et al.</w:t>
      </w:r>
      <w:r w:rsidRPr="008F0DA6">
        <w:t xml:space="preserve"> </w:t>
      </w:r>
      <w:r w:rsidRPr="008F0DA6">
        <w:rPr>
          <w:color w:val="000000"/>
        </w:rPr>
        <w:t>[35]</w:t>
      </w:r>
      <w:r w:rsidRPr="008F0DA6">
        <w:t xml:space="preserve">.  </w:t>
      </w:r>
    </w:p>
    <w:p w14:paraId="67BC41AF" w14:textId="77777777" w:rsidR="00D61F9D" w:rsidRPr="008F0DA6" w:rsidRDefault="008F0DA6">
      <w:pPr>
        <w:pStyle w:val="Heading3"/>
        <w:spacing w:line="240" w:lineRule="auto"/>
      </w:pPr>
      <w:bookmarkStart w:id="14" w:name="_e8yfn3n77wgl" w:colFirst="0" w:colLast="0"/>
      <w:bookmarkEnd w:id="14"/>
      <w:r w:rsidRPr="008F0DA6">
        <w:t>Brief Family Relationship Scale (BFRS)</w:t>
      </w:r>
    </w:p>
    <w:p w14:paraId="67BC41B0" w14:textId="77777777" w:rsidR="00D61F9D" w:rsidRPr="008F0DA6" w:rsidRDefault="008F0DA6">
      <w:pPr>
        <w:spacing w:line="240" w:lineRule="auto"/>
        <w:ind w:left="0"/>
      </w:pPr>
      <w:r w:rsidRPr="008F0DA6">
        <w:t xml:space="preserve">The BFRS is a 16-item version of the Relationship dimension of the Family Environment Scale, evaluating family cohesion, expressiveness, and conflict </w:t>
      </w:r>
      <w:r w:rsidRPr="008F0DA6">
        <w:rPr>
          <w:color w:val="000000"/>
        </w:rPr>
        <w:t>[36]</w:t>
      </w:r>
      <w:r w:rsidRPr="008F0DA6">
        <w:t>. The three subscales exhibit adequate internal consistency (</w:t>
      </w:r>
      <w:r w:rsidRPr="008F0DA6">
        <w:rPr>
          <w:i/>
        </w:rPr>
        <w:t>α</w:t>
      </w:r>
      <w:r w:rsidRPr="008F0DA6">
        <w:t xml:space="preserve"> = 0.65 – 0.83) and test-retest reliability over three weeks (</w:t>
      </w:r>
      <w:r w:rsidRPr="008F0DA6">
        <w:rPr>
          <w:i/>
        </w:rPr>
        <w:t>r</w:t>
      </w:r>
      <w:r w:rsidRPr="008F0DA6">
        <w:t xml:space="preserve"> = 0.68 – 0.86). Criterion validity has been demonstrated through correlations with measures of communal mastery, reasons for living, and community protective factors (</w:t>
      </w:r>
      <w:r w:rsidRPr="008F0DA6">
        <w:rPr>
          <w:i/>
        </w:rPr>
        <w:t>r</w:t>
      </w:r>
      <w:r w:rsidRPr="008F0DA6">
        <w:t xml:space="preserve"> = 0.44 – 0.51)</w:t>
      </w:r>
      <w:r w:rsidRPr="008F0DA6">
        <w:rPr>
          <w:color w:val="000000"/>
        </w:rPr>
        <w:t>[36]</w:t>
      </w:r>
      <w:r w:rsidRPr="008F0DA6">
        <w:t>. In the original scale, a higher BFRS score reflects a better relationship among family members. However, the current study adapted reversed coding for positively-worded items so that higher sco</w:t>
      </w:r>
      <w:r w:rsidRPr="008F0DA6">
        <w:t xml:space="preserve">res indicate a poorer family relationship. The scale displayed a McDonald's </w:t>
      </w:r>
      <w:proofErr w:type="spellStart"/>
      <w:r w:rsidRPr="008F0DA6">
        <w:t>ω</w:t>
      </w:r>
      <w:r w:rsidRPr="008F0DA6">
        <w:rPr>
          <w:vertAlign w:val="subscript"/>
        </w:rPr>
        <w:t>t</w:t>
      </w:r>
      <w:proofErr w:type="spellEnd"/>
      <w:r w:rsidRPr="008F0DA6">
        <w:rPr>
          <w:rFonts w:eastAsia="Gungsuh"/>
        </w:rPr>
        <w:t xml:space="preserve"> of 0.93 in the current study, and we adopted a median cutoff of ≥21 to signify a poor family relationship.</w:t>
      </w:r>
    </w:p>
    <w:p w14:paraId="67BC41B1" w14:textId="77777777" w:rsidR="00D61F9D" w:rsidRPr="008F0DA6" w:rsidRDefault="008F0DA6">
      <w:pPr>
        <w:pStyle w:val="Heading3"/>
        <w:spacing w:line="240" w:lineRule="auto"/>
      </w:pPr>
      <w:bookmarkStart w:id="15" w:name="_8rzfqo86ehgz" w:colFirst="0" w:colLast="0"/>
      <w:bookmarkEnd w:id="15"/>
      <w:r w:rsidRPr="008F0DA6">
        <w:t>Measure of Online Communication Attitudes (MOCA)</w:t>
      </w:r>
    </w:p>
    <w:p w14:paraId="67BC41B2" w14:textId="77777777" w:rsidR="00D61F9D" w:rsidRPr="008F0DA6" w:rsidRDefault="008F0DA6">
      <w:pPr>
        <w:spacing w:line="240" w:lineRule="auto"/>
        <w:ind w:left="0"/>
      </w:pPr>
      <w:r w:rsidRPr="008F0DA6">
        <w:t xml:space="preserve">The MOCA is a 31-item questionnaire that utilises a 7-point Likert scale to assess attitudes towards online communication across five factors: self-disclosure, apprehension, miscommunication, social connection, and ease </w:t>
      </w:r>
      <w:r w:rsidRPr="008F0DA6">
        <w:rPr>
          <w:color w:val="000000"/>
        </w:rPr>
        <w:t>[37]</w:t>
      </w:r>
      <w:r w:rsidRPr="008F0DA6">
        <w:t>. These factors display good internal consistency reliability (</w:t>
      </w:r>
      <w:r w:rsidRPr="008F0DA6">
        <w:rPr>
          <w:i/>
        </w:rPr>
        <w:t>α</w:t>
      </w:r>
      <w:r w:rsidRPr="008F0DA6">
        <w:t xml:space="preserve"> = 0.83 – 0.90). In the original scale, a higher MOCA score indicates a more positive attitude towards online communication. However, the current study adapted reversed coding for positively-worded items, so that higher scores reflect a more negative attitude towards online communication. In the current study, the scale exhibited a McDonald's </w:t>
      </w:r>
      <w:proofErr w:type="spellStart"/>
      <w:r w:rsidRPr="008F0DA6">
        <w:t>ω</w:t>
      </w:r>
      <w:r w:rsidRPr="008F0DA6">
        <w:rPr>
          <w:vertAlign w:val="subscript"/>
        </w:rPr>
        <w:t>t</w:t>
      </w:r>
      <w:proofErr w:type="spellEnd"/>
      <w:r w:rsidRPr="008F0DA6">
        <w:rPr>
          <w:vertAlign w:val="subscript"/>
        </w:rPr>
        <w:t xml:space="preserve"> </w:t>
      </w:r>
      <w:r w:rsidRPr="008F0DA6">
        <w:rPr>
          <w:rFonts w:eastAsia="Gungsuh"/>
        </w:rPr>
        <w:t>of 0.85, and we adopted a median cutoff of ≥122 to signify a negative attitude towards online co</w:t>
      </w:r>
      <w:r w:rsidRPr="008F0DA6">
        <w:rPr>
          <w:rFonts w:eastAsia="Gungsuh"/>
        </w:rPr>
        <w:t>mmunication.</w:t>
      </w:r>
    </w:p>
    <w:p w14:paraId="67BC41B3" w14:textId="77777777" w:rsidR="00D61F9D" w:rsidRPr="008F0DA6" w:rsidRDefault="008F0DA6">
      <w:pPr>
        <w:pStyle w:val="Heading3"/>
        <w:spacing w:line="240" w:lineRule="auto"/>
      </w:pPr>
      <w:bookmarkStart w:id="16" w:name="_2hjtc54f7uvy" w:colFirst="0" w:colLast="0"/>
      <w:bookmarkEnd w:id="16"/>
      <w:r w:rsidRPr="008F0DA6">
        <w:t>Connor-Davidson Resilience Scale (CD-RISC)</w:t>
      </w:r>
    </w:p>
    <w:p w14:paraId="67BC41B4" w14:textId="77777777" w:rsidR="00D61F9D" w:rsidRPr="008F0DA6" w:rsidRDefault="008F0DA6">
      <w:pPr>
        <w:spacing w:line="240" w:lineRule="auto"/>
        <w:ind w:left="0"/>
      </w:pPr>
      <w:r w:rsidRPr="008F0DA6">
        <w:t>The 10-item CD-RISC exhibits strong internal consistency (</w:t>
      </w:r>
      <w:r w:rsidRPr="008F0DA6">
        <w:rPr>
          <w:i/>
        </w:rPr>
        <w:t>α</w:t>
      </w:r>
      <w:r w:rsidRPr="008F0DA6">
        <w:t xml:space="preserve"> = 0.89) and test-retest reliability (</w:t>
      </w:r>
      <w:r w:rsidRPr="008F0DA6">
        <w:rPr>
          <w:i/>
        </w:rPr>
        <w:t xml:space="preserve">r </w:t>
      </w:r>
      <w:r w:rsidRPr="008F0DA6">
        <w:t xml:space="preserve">= 0.87) </w:t>
      </w:r>
      <w:r w:rsidRPr="008F0DA6">
        <w:rPr>
          <w:color w:val="000000"/>
        </w:rPr>
        <w:t>[38]</w:t>
      </w:r>
      <w:r w:rsidRPr="008F0DA6">
        <w:t>. The Chinese CD-RISC-10 displays satisfactory internal consistency among Chinese adolescents (</w:t>
      </w:r>
      <w:r w:rsidRPr="008F0DA6">
        <w:rPr>
          <w:i/>
        </w:rPr>
        <w:t>α</w:t>
      </w:r>
      <w:r w:rsidRPr="008F0DA6">
        <w:t xml:space="preserve"> = 0.87 for males and 0.88 for females) and presents a unidimensional structure </w:t>
      </w:r>
      <w:r w:rsidRPr="008F0DA6">
        <w:rPr>
          <w:color w:val="000000"/>
        </w:rPr>
        <w:t>[39]</w:t>
      </w:r>
      <w:r w:rsidRPr="008F0DA6">
        <w:t>. The scale was found to be significantly correlated with measures of loneliness (</w:t>
      </w:r>
      <w:r w:rsidRPr="008F0DA6">
        <w:rPr>
          <w:i/>
        </w:rPr>
        <w:t>r</w:t>
      </w:r>
      <w:r w:rsidRPr="008F0DA6">
        <w:rPr>
          <w:rFonts w:eastAsia="Gungsuh"/>
        </w:rPr>
        <w:t xml:space="preserve"> = −0.30), depressive symptoms (</w:t>
      </w:r>
      <w:r w:rsidRPr="008F0DA6">
        <w:rPr>
          <w:i/>
        </w:rPr>
        <w:t>r</w:t>
      </w:r>
      <w:r w:rsidRPr="008F0DA6">
        <w:rPr>
          <w:rFonts w:eastAsia="Gungsuh"/>
        </w:rPr>
        <w:t xml:space="preserve"> = −0.47), negative experiences (</w:t>
      </w:r>
      <w:r w:rsidRPr="008F0DA6">
        <w:rPr>
          <w:i/>
        </w:rPr>
        <w:t>r</w:t>
      </w:r>
      <w:r w:rsidRPr="008F0DA6">
        <w:rPr>
          <w:rFonts w:eastAsia="Gungsuh"/>
        </w:rPr>
        <w:t xml:space="preserve"> = −0.27), optimism (</w:t>
      </w:r>
      <w:r w:rsidRPr="008F0DA6">
        <w:rPr>
          <w:i/>
        </w:rPr>
        <w:t xml:space="preserve">r </w:t>
      </w:r>
      <w:r w:rsidRPr="008F0DA6">
        <w:t xml:space="preserve">= 0.46) and many more psychological well-being factors </w:t>
      </w:r>
      <w:r w:rsidRPr="008F0DA6">
        <w:rPr>
          <w:color w:val="000000"/>
        </w:rPr>
        <w:t>[39]</w:t>
      </w:r>
      <w:r w:rsidRPr="008F0DA6">
        <w:t xml:space="preserve">. The scale demonstrated a McDonald’s </w:t>
      </w:r>
      <w:proofErr w:type="spellStart"/>
      <w:r w:rsidRPr="008F0DA6">
        <w:t>ω</w:t>
      </w:r>
      <w:r w:rsidRPr="008F0DA6">
        <w:rPr>
          <w:vertAlign w:val="subscript"/>
        </w:rPr>
        <w:t>t</w:t>
      </w:r>
      <w:proofErr w:type="spellEnd"/>
      <w:r w:rsidRPr="008F0DA6">
        <w:rPr>
          <w:rFonts w:eastAsia="Gungsuh"/>
        </w:rPr>
        <w:t xml:space="preserve"> of 0.92 in the current study and we adopted a median cut-off of ≤23 to indicate a poor resilience.</w:t>
      </w:r>
    </w:p>
    <w:p w14:paraId="67BC41B5" w14:textId="77777777" w:rsidR="00D61F9D" w:rsidRPr="008F0DA6" w:rsidRDefault="008F0DA6">
      <w:pPr>
        <w:pStyle w:val="Heading3"/>
        <w:spacing w:line="240" w:lineRule="auto"/>
      </w:pPr>
      <w:bookmarkStart w:id="17" w:name="_3pwzyj6mwsfu" w:colFirst="0" w:colLast="0"/>
      <w:bookmarkEnd w:id="17"/>
      <w:r w:rsidRPr="008F0DA6">
        <w:t>Rosenberg Self-Esteem Scale (RSES)</w:t>
      </w:r>
    </w:p>
    <w:p w14:paraId="67BC41B6" w14:textId="77777777" w:rsidR="00D61F9D" w:rsidRPr="008F0DA6" w:rsidRDefault="008F0DA6">
      <w:pPr>
        <w:spacing w:line="240" w:lineRule="auto"/>
        <w:ind w:left="0"/>
      </w:pPr>
      <w:r w:rsidRPr="008F0DA6">
        <w:t>The RSES is a 10-item scale designed to measure global self-esteem, exhibiting good reliability (</w:t>
      </w:r>
      <w:r w:rsidRPr="008F0DA6">
        <w:rPr>
          <w:i/>
        </w:rPr>
        <w:t>α</w:t>
      </w:r>
      <w:r w:rsidRPr="008F0DA6">
        <w:t xml:space="preserve"> = 0.40) and construct validity through a one-factor structure and significant correlations with mental health indicators </w:t>
      </w:r>
      <w:r w:rsidRPr="008F0DA6">
        <w:rPr>
          <w:color w:val="000000"/>
        </w:rPr>
        <w:t>[40]</w:t>
      </w:r>
      <w:r w:rsidRPr="008F0DA6">
        <w:t>. The Chinese version showcases adequate internal consistency (</w:t>
      </w:r>
      <w:r w:rsidRPr="008F0DA6">
        <w:rPr>
          <w:i/>
        </w:rPr>
        <w:t>α</w:t>
      </w:r>
      <w:r w:rsidRPr="008F0DA6">
        <w:t xml:space="preserve"> = 0.76 – 0.85), test-retest reliability (</w:t>
      </w:r>
      <w:r w:rsidRPr="008F0DA6">
        <w:rPr>
          <w:i/>
        </w:rPr>
        <w:t>r</w:t>
      </w:r>
      <w:r w:rsidRPr="008F0DA6">
        <w:t xml:space="preserve"> = 0.34 – 0.47), construct validity via a two-factor structure, and clinical validity through significant negative correlations with anxiety and depression (r = –0.25 – –0.57) </w:t>
      </w:r>
      <w:r w:rsidRPr="008F0DA6">
        <w:rPr>
          <w:color w:val="000000"/>
        </w:rPr>
        <w:t>[41]</w:t>
      </w:r>
      <w:r w:rsidRPr="008F0DA6">
        <w:t xml:space="preserve">. In the current study, the scale achieved a McDonald's </w:t>
      </w:r>
      <w:proofErr w:type="spellStart"/>
      <w:r w:rsidRPr="008F0DA6">
        <w:t>ω</w:t>
      </w:r>
      <w:r w:rsidRPr="008F0DA6">
        <w:rPr>
          <w:vertAlign w:val="subscript"/>
        </w:rPr>
        <w:t>t</w:t>
      </w:r>
      <w:proofErr w:type="spellEnd"/>
      <w:r w:rsidRPr="008F0DA6">
        <w:rPr>
          <w:rFonts w:eastAsia="Gungsuh"/>
        </w:rPr>
        <w:t xml:space="preserve"> of 0.92, and a cut-off of ≤15 was emplo</w:t>
      </w:r>
      <w:r w:rsidRPr="008F0DA6">
        <w:rPr>
          <w:rFonts w:eastAsia="Gungsuh"/>
        </w:rPr>
        <w:t xml:space="preserve">yed to signify poor self-esteem </w:t>
      </w:r>
      <w:r w:rsidRPr="008F0DA6">
        <w:rPr>
          <w:color w:val="000000"/>
        </w:rPr>
        <w:t>[40]</w:t>
      </w:r>
      <w:r w:rsidRPr="008F0DA6">
        <w:t xml:space="preserve">.  </w:t>
      </w:r>
    </w:p>
    <w:p w14:paraId="67BC41B7" w14:textId="77777777" w:rsidR="00D61F9D" w:rsidRPr="008F0DA6" w:rsidRDefault="008F0DA6">
      <w:pPr>
        <w:pStyle w:val="Heading3"/>
        <w:spacing w:line="240" w:lineRule="auto"/>
      </w:pPr>
      <w:bookmarkStart w:id="18" w:name="_dksiprp3fbg5" w:colFirst="0" w:colLast="0"/>
      <w:bookmarkEnd w:id="18"/>
      <w:r w:rsidRPr="008F0DA6">
        <w:t>Goal Commitment Scale (GCS)</w:t>
      </w:r>
    </w:p>
    <w:p w14:paraId="67BC41B8" w14:textId="77777777" w:rsidR="00D61F9D" w:rsidRPr="008F0DA6" w:rsidRDefault="008F0DA6">
      <w:pPr>
        <w:spacing w:line="240" w:lineRule="auto"/>
        <w:ind w:left="0"/>
      </w:pPr>
      <w:r w:rsidRPr="008F0DA6">
        <w:t xml:space="preserve">The GCS comprises 4 items rated on a 5-point Likert scale, with higher scores reflecting greater commitment </w:t>
      </w:r>
      <w:r w:rsidRPr="008F0DA6">
        <w:rPr>
          <w:color w:val="000000"/>
        </w:rPr>
        <w:t>[42]</w:t>
      </w:r>
      <w:r w:rsidRPr="008F0DA6">
        <w:t xml:space="preserve">. A meta-analysis supports the scale’s </w:t>
      </w:r>
      <w:proofErr w:type="spellStart"/>
      <w:r w:rsidRPr="008F0DA6">
        <w:t>unidimensionality</w:t>
      </w:r>
      <w:proofErr w:type="spellEnd"/>
      <w:r w:rsidRPr="008F0DA6">
        <w:t xml:space="preserve">, while internal consistency has proven satisfactory (α = 0.71) </w:t>
      </w:r>
      <w:r w:rsidRPr="008F0DA6">
        <w:rPr>
          <w:color w:val="000000"/>
        </w:rPr>
        <w:t>[43]</w:t>
      </w:r>
      <w:r w:rsidRPr="008F0DA6">
        <w:t xml:space="preserve">. In the current study, the scale achieved a McDonald's </w:t>
      </w:r>
      <w:proofErr w:type="spellStart"/>
      <w:r w:rsidRPr="008F0DA6">
        <w:t>ω</w:t>
      </w:r>
      <w:r w:rsidRPr="008F0DA6">
        <w:rPr>
          <w:vertAlign w:val="subscript"/>
        </w:rPr>
        <w:t>t</w:t>
      </w:r>
      <w:proofErr w:type="spellEnd"/>
      <w:r w:rsidRPr="008F0DA6">
        <w:rPr>
          <w:rFonts w:eastAsia="Gungsuh"/>
        </w:rPr>
        <w:t xml:space="preserve"> of 0.81, and a median cut-off of ≤28 was utilised to signify poor goal commitment.</w:t>
      </w:r>
    </w:p>
    <w:p w14:paraId="67BC41B9" w14:textId="77777777" w:rsidR="00D61F9D" w:rsidRPr="008F0DA6" w:rsidRDefault="008F0DA6">
      <w:pPr>
        <w:pStyle w:val="Heading3"/>
        <w:spacing w:line="240" w:lineRule="auto"/>
      </w:pPr>
      <w:bookmarkStart w:id="19" w:name="_xwrczj1i507q" w:colFirst="0" w:colLast="0"/>
      <w:bookmarkEnd w:id="19"/>
      <w:r w:rsidRPr="008F0DA6">
        <w:t>General Procrastination Scale (GPS)</w:t>
      </w:r>
    </w:p>
    <w:p w14:paraId="67BC41BA" w14:textId="77777777" w:rsidR="00D61F9D" w:rsidRPr="008F0DA6" w:rsidRDefault="008F0DA6">
      <w:pPr>
        <w:spacing w:line="240" w:lineRule="auto"/>
        <w:ind w:left="0"/>
      </w:pPr>
      <w:r w:rsidRPr="008F0DA6">
        <w:t xml:space="preserve">The GPS is a 9-item self-report questionnaire using a true-false response format to assess procrastinatory tendencies </w:t>
      </w:r>
      <w:r w:rsidRPr="008F0DA6">
        <w:rPr>
          <w:color w:val="000000"/>
        </w:rPr>
        <w:t>[44]</w:t>
      </w:r>
      <w:r w:rsidRPr="008F0DA6">
        <w:t>. This scale demonstrated good internal consistency (</w:t>
      </w:r>
      <w:r w:rsidRPr="008F0DA6">
        <w:rPr>
          <w:i/>
        </w:rPr>
        <w:t>α</w:t>
      </w:r>
      <w:r w:rsidRPr="008F0DA6">
        <w:t xml:space="preserve"> = .89). The scale demonstrated a McDonald’s </w:t>
      </w:r>
      <w:proofErr w:type="spellStart"/>
      <w:r w:rsidRPr="008F0DA6">
        <w:t>ω</w:t>
      </w:r>
      <w:r w:rsidRPr="008F0DA6">
        <w:rPr>
          <w:vertAlign w:val="subscript"/>
        </w:rPr>
        <w:t>t</w:t>
      </w:r>
      <w:proofErr w:type="spellEnd"/>
      <w:r w:rsidRPr="008F0DA6">
        <w:rPr>
          <w:rFonts w:eastAsia="Gungsuh"/>
        </w:rPr>
        <w:t xml:space="preserve"> of 0.89 in the current study and we adopted a median cut-off of ≥62 to indicate a high procrastination.   </w:t>
      </w:r>
    </w:p>
    <w:p w14:paraId="67BC41BB" w14:textId="77777777" w:rsidR="00D61F9D" w:rsidRPr="008F0DA6" w:rsidRDefault="008F0DA6">
      <w:pPr>
        <w:widowControl w:val="0"/>
        <w:spacing w:after="0" w:line="240" w:lineRule="auto"/>
        <w:ind w:left="440" w:hanging="440"/>
        <w:rPr>
          <w:b/>
        </w:rPr>
      </w:pPr>
      <w:r w:rsidRPr="008F0DA6">
        <w:rPr>
          <w:b/>
        </w:rPr>
        <w:t>References</w:t>
      </w:r>
    </w:p>
    <w:p w14:paraId="67BC41BC" w14:textId="77777777" w:rsidR="00D61F9D" w:rsidRPr="008F0DA6" w:rsidRDefault="008F0DA6">
      <w:pPr>
        <w:widowControl w:val="0"/>
        <w:pBdr>
          <w:top w:val="nil"/>
          <w:left w:val="nil"/>
          <w:bottom w:val="nil"/>
          <w:right w:val="nil"/>
          <w:between w:val="nil"/>
        </w:pBdr>
        <w:spacing w:before="220" w:after="220" w:line="240" w:lineRule="auto"/>
        <w:ind w:left="440" w:hanging="440"/>
        <w:rPr>
          <w:color w:val="000000"/>
        </w:rPr>
      </w:pPr>
      <w:r w:rsidRPr="008F0DA6">
        <w:rPr>
          <w:color w:val="000000"/>
        </w:rPr>
        <w:t xml:space="preserve">1. </w:t>
      </w:r>
      <w:r w:rsidRPr="008F0DA6">
        <w:rPr>
          <w:color w:val="000000"/>
        </w:rPr>
        <w:tab/>
      </w:r>
      <w:r w:rsidRPr="008F0DA6">
        <w:rPr>
          <w:color w:val="000000"/>
        </w:rPr>
        <w:t>Kroenke K, Spitzer RL, Williams JB. The PHQ-9: validity of a brief depression severity measure. J Gen Intern Med. 2001;16: 606–613.</w:t>
      </w:r>
    </w:p>
    <w:p w14:paraId="67BC41BD"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 </w:t>
      </w:r>
      <w:r w:rsidRPr="008F0DA6">
        <w:rPr>
          <w:color w:val="000000"/>
        </w:rPr>
        <w:tab/>
      </w:r>
      <w:r w:rsidRPr="008F0DA6">
        <w:rPr>
          <w:color w:val="000000"/>
        </w:rPr>
        <w:t>Zhang Y-L, Liang W, Chen Z-M, Zhang H-M, Zhang J-H, Weng X-Q, et al. Validity and reliability of Patient Health Questionnaire-9 and Patient Health Questionnaire-2 to screen for depression among college students in China. Asia Pac Psychiatry. 2013;5: 268–275.</w:t>
      </w:r>
    </w:p>
    <w:p w14:paraId="67BC41BE"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 </w:t>
      </w:r>
      <w:r w:rsidRPr="008F0DA6">
        <w:rPr>
          <w:color w:val="000000"/>
        </w:rPr>
        <w:tab/>
      </w:r>
      <w:r w:rsidRPr="008F0DA6">
        <w:rPr>
          <w:color w:val="000000"/>
        </w:rPr>
        <w:t xml:space="preserve">Manea L, </w:t>
      </w:r>
      <w:proofErr w:type="spellStart"/>
      <w:r w:rsidRPr="008F0DA6">
        <w:rPr>
          <w:color w:val="000000"/>
        </w:rPr>
        <w:t>Gilbody</w:t>
      </w:r>
      <w:proofErr w:type="spellEnd"/>
      <w:r w:rsidRPr="008F0DA6">
        <w:rPr>
          <w:color w:val="000000"/>
        </w:rPr>
        <w:t xml:space="preserve"> S, McMillan D. Optimal cut-off score for diagnosing depression with the Patient Health Questionnaire (PHQ-9): a meta-analysis. CMAJ. 2012;184: E191–6.</w:t>
      </w:r>
    </w:p>
    <w:p w14:paraId="67BC41BF"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4. </w:t>
      </w:r>
      <w:r w:rsidRPr="008F0DA6">
        <w:rPr>
          <w:color w:val="000000"/>
        </w:rPr>
        <w:tab/>
      </w:r>
      <w:r w:rsidRPr="008F0DA6">
        <w:rPr>
          <w:color w:val="000000"/>
        </w:rPr>
        <w:t xml:space="preserve">Spitzer RL, Kroenke K, Williams JBW, </w:t>
      </w:r>
      <w:proofErr w:type="spellStart"/>
      <w:r w:rsidRPr="008F0DA6">
        <w:rPr>
          <w:color w:val="000000"/>
        </w:rPr>
        <w:t>Löwe</w:t>
      </w:r>
      <w:proofErr w:type="spellEnd"/>
      <w:r w:rsidRPr="008F0DA6">
        <w:rPr>
          <w:color w:val="000000"/>
        </w:rPr>
        <w:t xml:space="preserve"> B. A brief measure for assessing generalized anxiety disorder: the GAD-7. Arch Intern Med. 2006;166: 1092–1097.</w:t>
      </w:r>
    </w:p>
    <w:p w14:paraId="67BC41C0"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5. </w:t>
      </w:r>
      <w:r w:rsidRPr="008F0DA6">
        <w:rPr>
          <w:color w:val="000000"/>
        </w:rPr>
        <w:tab/>
      </w:r>
      <w:r w:rsidRPr="008F0DA6">
        <w:rPr>
          <w:color w:val="000000"/>
        </w:rPr>
        <w:t>Ip H, Suen YN, Hui CLM, Wong SMY, Chan SKW, Lee EHM, et al. Assessing anxiety among adolescents in Hong Kong: psychometric properties and validity of the Generalised Anxiety Disorder-7 (GAD-7) in an epidemiological community sample. BMC Psychiatry. 2022;22: 703.</w:t>
      </w:r>
    </w:p>
    <w:p w14:paraId="67BC41C1"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6. </w:t>
      </w:r>
      <w:r w:rsidRPr="008F0DA6">
        <w:rPr>
          <w:color w:val="000000"/>
        </w:rPr>
        <w:tab/>
      </w:r>
      <w:r w:rsidRPr="008F0DA6">
        <w:rPr>
          <w:color w:val="000000"/>
        </w:rPr>
        <w:t>Tong X, An D, McGonigal A, Park S-P, Zhou D. Validation of the Generalized Anxiety Disorder-7 (GAD-7) among Chinese people with epilepsy. Epilepsy Res. 2016;120: 31–36.</w:t>
      </w:r>
    </w:p>
    <w:p w14:paraId="67BC41C2"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7. </w:t>
      </w:r>
      <w:r w:rsidRPr="008F0DA6">
        <w:rPr>
          <w:color w:val="000000"/>
        </w:rPr>
        <w:tab/>
      </w:r>
      <w:r w:rsidRPr="008F0DA6">
        <w:rPr>
          <w:color w:val="000000"/>
        </w:rPr>
        <w:t xml:space="preserve">Liebowitz MR. Social phobia. Modern Problems in </w:t>
      </w:r>
      <w:proofErr w:type="spellStart"/>
      <w:r w:rsidRPr="008F0DA6">
        <w:rPr>
          <w:color w:val="000000"/>
        </w:rPr>
        <w:t>Pharmacopsychiatry</w:t>
      </w:r>
      <w:proofErr w:type="spellEnd"/>
      <w:r w:rsidRPr="008F0DA6">
        <w:rPr>
          <w:color w:val="000000"/>
        </w:rPr>
        <w:t>, 22, 141--173. 1987.</w:t>
      </w:r>
    </w:p>
    <w:p w14:paraId="67BC41C3"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8. </w:t>
      </w:r>
      <w:r w:rsidRPr="008F0DA6">
        <w:rPr>
          <w:color w:val="000000"/>
        </w:rPr>
        <w:tab/>
      </w:r>
      <w:r w:rsidRPr="008F0DA6">
        <w:rPr>
          <w:color w:val="000000"/>
        </w:rPr>
        <w:t xml:space="preserve">Baker SL, Heinrichs N, Kim H-J, Hofmann SG. The </w:t>
      </w:r>
      <w:proofErr w:type="spellStart"/>
      <w:r w:rsidRPr="008F0DA6">
        <w:rPr>
          <w:color w:val="000000"/>
        </w:rPr>
        <w:t>liebowitz</w:t>
      </w:r>
      <w:proofErr w:type="spellEnd"/>
      <w:r w:rsidRPr="008F0DA6">
        <w:rPr>
          <w:color w:val="000000"/>
        </w:rPr>
        <w:t xml:space="preserve"> social anxiety scale as a self-report instrument: a preliminary psychometric analysis. </w:t>
      </w:r>
      <w:proofErr w:type="spellStart"/>
      <w:r w:rsidRPr="008F0DA6">
        <w:rPr>
          <w:color w:val="000000"/>
        </w:rPr>
        <w:t>Behav</w:t>
      </w:r>
      <w:proofErr w:type="spellEnd"/>
      <w:r w:rsidRPr="008F0DA6">
        <w:rPr>
          <w:color w:val="000000"/>
        </w:rPr>
        <w:t xml:space="preserve"> Res </w:t>
      </w:r>
      <w:proofErr w:type="spellStart"/>
      <w:r w:rsidRPr="008F0DA6">
        <w:rPr>
          <w:color w:val="000000"/>
        </w:rPr>
        <w:t>Ther</w:t>
      </w:r>
      <w:proofErr w:type="spellEnd"/>
      <w:r w:rsidRPr="008F0DA6">
        <w:rPr>
          <w:color w:val="000000"/>
        </w:rPr>
        <w:t>. 2002;40: 701–715.</w:t>
      </w:r>
    </w:p>
    <w:p w14:paraId="67BC41C4"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9. </w:t>
      </w:r>
      <w:r w:rsidRPr="008F0DA6">
        <w:rPr>
          <w:color w:val="000000"/>
        </w:rPr>
        <w:tab/>
      </w:r>
      <w:r w:rsidRPr="008F0DA6">
        <w:rPr>
          <w:color w:val="000000"/>
        </w:rPr>
        <w:t xml:space="preserve">Liebowitz MR, Liebowitz -. Guidelines for using the Liebowitz social anxiety scale (LSAS). 2003 [cited 17 Dec 2023]. Available: </w:t>
      </w:r>
      <w:hyperlink r:id="rId8">
        <w:r w:rsidRPr="008F0DA6">
          <w:rPr>
            <w:color w:val="000000"/>
          </w:rPr>
          <w:t>https://heilbrigdisvisindastofnun.hi.is/files/2022-12/LSAS_Manual.pdf</w:t>
        </w:r>
      </w:hyperlink>
    </w:p>
    <w:p w14:paraId="67BC41C5"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10. </w:t>
      </w:r>
      <w:r w:rsidRPr="008F0DA6">
        <w:rPr>
          <w:color w:val="000000"/>
        </w:rPr>
        <w:tab/>
      </w:r>
      <w:r w:rsidRPr="008F0DA6">
        <w:rPr>
          <w:color w:val="000000"/>
        </w:rPr>
        <w:t>Young RC, Biggs JT, Ziegler VE, Meyer DA. A rating scale for mania: reliability, validity and sensitivity. Br J Psychiatry. 1978;133: 429–435.</w:t>
      </w:r>
    </w:p>
    <w:p w14:paraId="67BC41C6"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11. </w:t>
      </w:r>
      <w:r w:rsidRPr="008F0DA6">
        <w:rPr>
          <w:color w:val="000000"/>
        </w:rPr>
        <w:tab/>
      </w:r>
      <w:r w:rsidRPr="008F0DA6">
        <w:rPr>
          <w:color w:val="000000"/>
        </w:rPr>
        <w:t xml:space="preserve">Lukasiewicz M, Gerard S, Besnard A, </w:t>
      </w:r>
      <w:proofErr w:type="spellStart"/>
      <w:r w:rsidRPr="008F0DA6">
        <w:rPr>
          <w:color w:val="000000"/>
        </w:rPr>
        <w:t>Falissard</w:t>
      </w:r>
      <w:proofErr w:type="spellEnd"/>
      <w:r w:rsidRPr="008F0DA6">
        <w:rPr>
          <w:color w:val="000000"/>
        </w:rPr>
        <w:t xml:space="preserve"> B, Perrin E, Sapin H, et al. Young Mania Rating Scale: how to interpret the numbers? Determination of a severity threshold and of the minimal clinically significant difference in the EMBLEM cohort. Int J Methods </w:t>
      </w:r>
      <w:proofErr w:type="spellStart"/>
      <w:r w:rsidRPr="008F0DA6">
        <w:rPr>
          <w:color w:val="000000"/>
        </w:rPr>
        <w:t>Psychiatr</w:t>
      </w:r>
      <w:proofErr w:type="spellEnd"/>
      <w:r w:rsidRPr="008F0DA6">
        <w:rPr>
          <w:color w:val="000000"/>
        </w:rPr>
        <w:t xml:space="preserve"> Res. 2013;22: 46–58.</w:t>
      </w:r>
    </w:p>
    <w:p w14:paraId="67BC41C7"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12. </w:t>
      </w:r>
      <w:r w:rsidRPr="008F0DA6">
        <w:rPr>
          <w:color w:val="000000"/>
        </w:rPr>
        <w:tab/>
      </w:r>
      <w:r w:rsidRPr="008F0DA6">
        <w:rPr>
          <w:color w:val="000000"/>
        </w:rPr>
        <w:t xml:space="preserve">Kessler RC, Andrews G, </w:t>
      </w:r>
      <w:proofErr w:type="spellStart"/>
      <w:r w:rsidRPr="008F0DA6">
        <w:rPr>
          <w:color w:val="000000"/>
        </w:rPr>
        <w:t>Colpe</w:t>
      </w:r>
      <w:proofErr w:type="spellEnd"/>
      <w:r w:rsidRPr="008F0DA6">
        <w:rPr>
          <w:color w:val="000000"/>
        </w:rPr>
        <w:t xml:space="preserve"> LJ, </w:t>
      </w:r>
      <w:proofErr w:type="spellStart"/>
      <w:r w:rsidRPr="008F0DA6">
        <w:rPr>
          <w:color w:val="000000"/>
        </w:rPr>
        <w:t>Hiripi</w:t>
      </w:r>
      <w:proofErr w:type="spellEnd"/>
      <w:r w:rsidRPr="008F0DA6">
        <w:rPr>
          <w:color w:val="000000"/>
        </w:rPr>
        <w:t xml:space="preserve"> E, </w:t>
      </w:r>
      <w:proofErr w:type="spellStart"/>
      <w:r w:rsidRPr="008F0DA6">
        <w:rPr>
          <w:color w:val="000000"/>
        </w:rPr>
        <w:t>Mroczek</w:t>
      </w:r>
      <w:proofErr w:type="spellEnd"/>
      <w:r w:rsidRPr="008F0DA6">
        <w:rPr>
          <w:color w:val="000000"/>
        </w:rPr>
        <w:t xml:space="preserve"> DK, Normand SLT, et al. Short screening scales to monitor population prevalences and trends in non-specific psychological distress. </w:t>
      </w:r>
      <w:proofErr w:type="spellStart"/>
      <w:r w:rsidRPr="008F0DA6">
        <w:rPr>
          <w:color w:val="000000"/>
        </w:rPr>
        <w:t>Psychol</w:t>
      </w:r>
      <w:proofErr w:type="spellEnd"/>
      <w:r w:rsidRPr="008F0DA6">
        <w:rPr>
          <w:color w:val="000000"/>
        </w:rPr>
        <w:t xml:space="preserve"> Med. 2002;32: 959–976.</w:t>
      </w:r>
    </w:p>
    <w:p w14:paraId="67BC41C8"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13. </w:t>
      </w:r>
      <w:r w:rsidRPr="008F0DA6">
        <w:rPr>
          <w:color w:val="000000"/>
        </w:rPr>
        <w:tab/>
      </w:r>
      <w:proofErr w:type="spellStart"/>
      <w:r w:rsidRPr="008F0DA6">
        <w:rPr>
          <w:color w:val="000000"/>
        </w:rPr>
        <w:t>Mewton</w:t>
      </w:r>
      <w:proofErr w:type="spellEnd"/>
      <w:r w:rsidRPr="008F0DA6">
        <w:rPr>
          <w:color w:val="000000"/>
        </w:rPr>
        <w:t xml:space="preserve"> L, Kessler RC, Slade T, Hobbs MJ, Brownhill L, </w:t>
      </w:r>
      <w:proofErr w:type="spellStart"/>
      <w:r w:rsidRPr="008F0DA6">
        <w:rPr>
          <w:color w:val="000000"/>
        </w:rPr>
        <w:t>Birrell</w:t>
      </w:r>
      <w:proofErr w:type="spellEnd"/>
      <w:r w:rsidRPr="008F0DA6">
        <w:rPr>
          <w:color w:val="000000"/>
        </w:rPr>
        <w:t xml:space="preserve"> L, et al. The psychometric properties of the Kessler Psychological Distress Scale (K6) in a general population sample of adolescents. </w:t>
      </w:r>
      <w:proofErr w:type="spellStart"/>
      <w:r w:rsidRPr="008F0DA6">
        <w:rPr>
          <w:color w:val="000000"/>
        </w:rPr>
        <w:t>Psychol</w:t>
      </w:r>
      <w:proofErr w:type="spellEnd"/>
      <w:r w:rsidRPr="008F0DA6">
        <w:rPr>
          <w:color w:val="000000"/>
        </w:rPr>
        <w:t xml:space="preserve"> Assess. 2016;28: 1232–1242.</w:t>
      </w:r>
    </w:p>
    <w:p w14:paraId="67BC41C9"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14. </w:t>
      </w:r>
      <w:r w:rsidRPr="008F0DA6">
        <w:rPr>
          <w:color w:val="000000"/>
        </w:rPr>
        <w:tab/>
      </w:r>
      <w:r w:rsidRPr="008F0DA6">
        <w:rPr>
          <w:color w:val="000000"/>
        </w:rPr>
        <w:t xml:space="preserve">Kang Y-K, Guo W-J, Xu H, Chen Y-H, Li X-J, Tan Z-P, et al. The 6-item Kessler psychological distress scale to survey serious mental illness among Chinese undergraduates: Psychometric properties and prevalence estimate. </w:t>
      </w:r>
      <w:proofErr w:type="spellStart"/>
      <w:r w:rsidRPr="008F0DA6">
        <w:rPr>
          <w:color w:val="000000"/>
        </w:rPr>
        <w:t>Compr</w:t>
      </w:r>
      <w:proofErr w:type="spellEnd"/>
      <w:r w:rsidRPr="008F0DA6">
        <w:rPr>
          <w:color w:val="000000"/>
        </w:rPr>
        <w:t xml:space="preserve"> Psychiatry. 2015;63: 105–112.</w:t>
      </w:r>
    </w:p>
    <w:p w14:paraId="67BC41CA"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15. </w:t>
      </w:r>
      <w:r w:rsidRPr="008F0DA6">
        <w:rPr>
          <w:color w:val="000000"/>
        </w:rPr>
        <w:tab/>
      </w:r>
      <w:r w:rsidRPr="008F0DA6">
        <w:rPr>
          <w:color w:val="000000"/>
        </w:rPr>
        <w:t xml:space="preserve">Kessler RC, Barker PR, </w:t>
      </w:r>
      <w:proofErr w:type="spellStart"/>
      <w:r w:rsidRPr="008F0DA6">
        <w:rPr>
          <w:color w:val="000000"/>
        </w:rPr>
        <w:t>Colpe</w:t>
      </w:r>
      <w:proofErr w:type="spellEnd"/>
      <w:r w:rsidRPr="008F0DA6">
        <w:rPr>
          <w:color w:val="000000"/>
        </w:rPr>
        <w:t xml:space="preserve"> LJ, Epstein JF, </w:t>
      </w:r>
      <w:proofErr w:type="spellStart"/>
      <w:r w:rsidRPr="008F0DA6">
        <w:rPr>
          <w:color w:val="000000"/>
        </w:rPr>
        <w:t>Gfroerer</w:t>
      </w:r>
      <w:proofErr w:type="spellEnd"/>
      <w:r w:rsidRPr="008F0DA6">
        <w:rPr>
          <w:color w:val="000000"/>
        </w:rPr>
        <w:t xml:space="preserve"> JC, </w:t>
      </w:r>
      <w:proofErr w:type="spellStart"/>
      <w:r w:rsidRPr="008F0DA6">
        <w:rPr>
          <w:color w:val="000000"/>
        </w:rPr>
        <w:t>Hiripi</w:t>
      </w:r>
      <w:proofErr w:type="spellEnd"/>
      <w:r w:rsidRPr="008F0DA6">
        <w:rPr>
          <w:color w:val="000000"/>
        </w:rPr>
        <w:t xml:space="preserve"> E, et al. Screening for serious mental illness in the general population. Arch Gen Psychiatry. 2003;60: 184–189.</w:t>
      </w:r>
    </w:p>
    <w:p w14:paraId="67BC41CB"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16. </w:t>
      </w:r>
      <w:r w:rsidRPr="008F0DA6">
        <w:rPr>
          <w:color w:val="000000"/>
        </w:rPr>
        <w:tab/>
      </w:r>
      <w:r w:rsidRPr="008F0DA6">
        <w:rPr>
          <w:color w:val="000000"/>
        </w:rPr>
        <w:t xml:space="preserve">Loewy RL, Pearson R, Vinogradov S, Bearden CE, Cannon TD. Psychosis risk screening with the Prodromal Questionnaire--brief version (PQ-B). </w:t>
      </w:r>
      <w:proofErr w:type="spellStart"/>
      <w:r w:rsidRPr="008F0DA6">
        <w:rPr>
          <w:color w:val="000000"/>
        </w:rPr>
        <w:t>Schizophr</w:t>
      </w:r>
      <w:proofErr w:type="spellEnd"/>
      <w:r w:rsidRPr="008F0DA6">
        <w:rPr>
          <w:color w:val="000000"/>
        </w:rPr>
        <w:t xml:space="preserve"> Res. 2011;129: 42–46.</w:t>
      </w:r>
    </w:p>
    <w:p w14:paraId="67BC41CC"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17. </w:t>
      </w:r>
      <w:r w:rsidRPr="008F0DA6">
        <w:rPr>
          <w:color w:val="000000"/>
        </w:rPr>
        <w:tab/>
      </w:r>
      <w:r w:rsidRPr="008F0DA6">
        <w:rPr>
          <w:color w:val="000000"/>
        </w:rPr>
        <w:t xml:space="preserve">Xu L, Zhang T, Zheng L, Li H, Tang Y, Luo X, et al. Psychometric Properties of Prodromal Questionnaire-Brief Version among Chinese Help-Seeking Individuals. </w:t>
      </w:r>
      <w:proofErr w:type="spellStart"/>
      <w:r w:rsidRPr="008F0DA6">
        <w:rPr>
          <w:color w:val="000000"/>
        </w:rPr>
        <w:t>PLoS</w:t>
      </w:r>
      <w:proofErr w:type="spellEnd"/>
      <w:r w:rsidRPr="008F0DA6">
        <w:rPr>
          <w:color w:val="000000"/>
        </w:rPr>
        <w:t xml:space="preserve"> One. 2016;11: e0148935.</w:t>
      </w:r>
    </w:p>
    <w:p w14:paraId="67BC41CD"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18. </w:t>
      </w:r>
      <w:r w:rsidRPr="008F0DA6">
        <w:rPr>
          <w:color w:val="000000"/>
        </w:rPr>
        <w:tab/>
      </w:r>
      <w:r w:rsidRPr="008F0DA6">
        <w:rPr>
          <w:color w:val="000000"/>
        </w:rPr>
        <w:t>Ware J Jr, Kosinski M, Keller SD. A 12-Item Short-Form Health Survey: construction of scales and preliminary tests of reliability and validity. Med Care. 1996;34: 220–233.</w:t>
      </w:r>
    </w:p>
    <w:p w14:paraId="67BC41CE"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19. </w:t>
      </w:r>
      <w:r w:rsidRPr="008F0DA6">
        <w:rPr>
          <w:color w:val="000000"/>
        </w:rPr>
        <w:tab/>
      </w:r>
      <w:r w:rsidRPr="008F0DA6">
        <w:rPr>
          <w:color w:val="000000"/>
        </w:rPr>
        <w:t xml:space="preserve">Gonçalves MT, </w:t>
      </w:r>
      <w:proofErr w:type="spellStart"/>
      <w:r w:rsidRPr="008F0DA6">
        <w:rPr>
          <w:color w:val="000000"/>
        </w:rPr>
        <w:t>Malafaia</w:t>
      </w:r>
      <w:proofErr w:type="spellEnd"/>
      <w:r w:rsidRPr="008F0DA6">
        <w:rPr>
          <w:color w:val="000000"/>
        </w:rPr>
        <w:t xml:space="preserve"> S, Moutinho Dos Santos J, Roth T, Marques DR. Epworth sleepiness scale: A meta-analytic study on the internal consistency. Sleep Med. 2023;109: 261–269.</w:t>
      </w:r>
    </w:p>
    <w:p w14:paraId="67BC41CF"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20. </w:t>
      </w:r>
      <w:r w:rsidRPr="008F0DA6">
        <w:rPr>
          <w:color w:val="000000"/>
        </w:rPr>
        <w:tab/>
      </w:r>
      <w:r w:rsidRPr="008F0DA6">
        <w:rPr>
          <w:color w:val="000000"/>
        </w:rPr>
        <w:t>Johns MW. A new method for measuring daytime sleepiness: the Epworth sleepiness scale. Sleep. 1991;14: 540–545.</w:t>
      </w:r>
    </w:p>
    <w:p w14:paraId="67BC41D0"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21. </w:t>
      </w:r>
      <w:r w:rsidRPr="008F0DA6">
        <w:rPr>
          <w:color w:val="000000"/>
        </w:rPr>
        <w:tab/>
      </w:r>
      <w:r w:rsidRPr="008F0DA6">
        <w:rPr>
          <w:color w:val="000000"/>
        </w:rPr>
        <w:t>Chen N-H, Johns MW, Li H-Y, Chu C-C, Liang S-C, Shu Y-H, et al. Validation of a Chinese version of the Epworth sleepiness scale. Qual Life Res. 2002;11: 817–821.</w:t>
      </w:r>
    </w:p>
    <w:p w14:paraId="67BC41D1"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22. </w:t>
      </w:r>
      <w:r w:rsidRPr="008F0DA6">
        <w:rPr>
          <w:color w:val="000000"/>
        </w:rPr>
        <w:tab/>
      </w:r>
      <w:r w:rsidRPr="008F0DA6">
        <w:rPr>
          <w:color w:val="000000"/>
        </w:rPr>
        <w:t xml:space="preserve">Johns MW. Sensitivity and specificity of the multiple sleep latency test (MSLT), the maintenance of wakefulness test and the </w:t>
      </w:r>
      <w:proofErr w:type="spellStart"/>
      <w:r w:rsidRPr="008F0DA6">
        <w:rPr>
          <w:color w:val="000000"/>
        </w:rPr>
        <w:t>epworth</w:t>
      </w:r>
      <w:proofErr w:type="spellEnd"/>
      <w:r w:rsidRPr="008F0DA6">
        <w:rPr>
          <w:color w:val="000000"/>
        </w:rPr>
        <w:t xml:space="preserve"> sleepiness scale: failure of the MSLT as a gold standard. J Sleep Res. 2000;9: 5–11.</w:t>
      </w:r>
    </w:p>
    <w:p w14:paraId="67BC41D2"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23. </w:t>
      </w:r>
      <w:r w:rsidRPr="008F0DA6">
        <w:rPr>
          <w:color w:val="000000"/>
        </w:rPr>
        <w:tab/>
      </w:r>
      <w:r w:rsidRPr="008F0DA6">
        <w:rPr>
          <w:color w:val="000000"/>
        </w:rPr>
        <w:t xml:space="preserve">Raine A, </w:t>
      </w:r>
      <w:proofErr w:type="spellStart"/>
      <w:r w:rsidRPr="008F0DA6">
        <w:rPr>
          <w:color w:val="000000"/>
        </w:rPr>
        <w:t>Benishay</w:t>
      </w:r>
      <w:proofErr w:type="spellEnd"/>
      <w:r w:rsidRPr="008F0DA6">
        <w:rPr>
          <w:color w:val="000000"/>
        </w:rPr>
        <w:t xml:space="preserve"> D. The SPQ-B: A Brief Screening Instrument for Schizotypal Personality Disorder. J </w:t>
      </w:r>
      <w:proofErr w:type="spellStart"/>
      <w:r w:rsidRPr="008F0DA6">
        <w:rPr>
          <w:color w:val="000000"/>
        </w:rPr>
        <w:t>Pers</w:t>
      </w:r>
      <w:proofErr w:type="spellEnd"/>
      <w:r w:rsidRPr="008F0DA6">
        <w:rPr>
          <w:color w:val="000000"/>
        </w:rPr>
        <w:t xml:space="preserve"> </w:t>
      </w:r>
      <w:proofErr w:type="spellStart"/>
      <w:r w:rsidRPr="008F0DA6">
        <w:rPr>
          <w:color w:val="000000"/>
        </w:rPr>
        <w:t>Disord</w:t>
      </w:r>
      <w:proofErr w:type="spellEnd"/>
      <w:r w:rsidRPr="008F0DA6">
        <w:rPr>
          <w:color w:val="000000"/>
        </w:rPr>
        <w:t>. 1995;9: 346–355.</w:t>
      </w:r>
    </w:p>
    <w:p w14:paraId="67BC41D3"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24. </w:t>
      </w:r>
      <w:r w:rsidRPr="008F0DA6">
        <w:rPr>
          <w:color w:val="000000"/>
        </w:rPr>
        <w:tab/>
      </w:r>
      <w:r w:rsidRPr="008F0DA6">
        <w:rPr>
          <w:color w:val="000000"/>
        </w:rPr>
        <w:t xml:space="preserve">Ma W-F, Wu P-L, Yang S-J, Cheng K-F, Chiu H-T, Lane H-Y. Sensitivity and specificity of the Chinese version of the Schizotypal Personality Questionnaire-Brief for identifying undergraduate students susceptible to psychosis. Int J </w:t>
      </w:r>
      <w:proofErr w:type="spellStart"/>
      <w:r w:rsidRPr="008F0DA6">
        <w:rPr>
          <w:color w:val="000000"/>
        </w:rPr>
        <w:t>Nurs</w:t>
      </w:r>
      <w:proofErr w:type="spellEnd"/>
      <w:r w:rsidRPr="008F0DA6">
        <w:rPr>
          <w:color w:val="000000"/>
        </w:rPr>
        <w:t xml:space="preserve"> Stud. 2010;47: 1535–1544.</w:t>
      </w:r>
    </w:p>
    <w:p w14:paraId="67BC41D4"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25. </w:t>
      </w:r>
      <w:r w:rsidRPr="008F0DA6">
        <w:rPr>
          <w:color w:val="000000"/>
        </w:rPr>
        <w:tab/>
      </w:r>
      <w:r w:rsidRPr="008F0DA6">
        <w:rPr>
          <w:color w:val="000000"/>
        </w:rPr>
        <w:t>Raine A. Manual for the schizotypal personality questionnaire (SPQ and SPQ-B). Unpublished manual available from the author. 2022.</w:t>
      </w:r>
    </w:p>
    <w:p w14:paraId="67BC41D5"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26. </w:t>
      </w:r>
      <w:r w:rsidRPr="008F0DA6">
        <w:rPr>
          <w:color w:val="000000"/>
        </w:rPr>
        <w:tab/>
      </w:r>
      <w:r w:rsidRPr="008F0DA6">
        <w:rPr>
          <w:color w:val="000000"/>
        </w:rPr>
        <w:t>Beck AT, Weissman A, Lester D, Trexler L. The measurement of pessimism: the hopelessness scale. J Consult Clin Psychol. 1974;42: 861–865.</w:t>
      </w:r>
    </w:p>
    <w:p w14:paraId="67BC41D6"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27. </w:t>
      </w:r>
      <w:r w:rsidRPr="008F0DA6">
        <w:rPr>
          <w:color w:val="000000"/>
        </w:rPr>
        <w:tab/>
      </w:r>
      <w:r w:rsidRPr="008F0DA6">
        <w:rPr>
          <w:color w:val="000000"/>
        </w:rPr>
        <w:t xml:space="preserve">Steed L. Further Validity and Reliability Evidence for Beck Hopelessness Scale Scores in a Nonclinical Sample. </w:t>
      </w:r>
      <w:proofErr w:type="spellStart"/>
      <w:r w:rsidRPr="008F0DA6">
        <w:rPr>
          <w:color w:val="000000"/>
        </w:rPr>
        <w:t>Educ</w:t>
      </w:r>
      <w:proofErr w:type="spellEnd"/>
      <w:r w:rsidRPr="008F0DA6">
        <w:rPr>
          <w:color w:val="000000"/>
        </w:rPr>
        <w:t xml:space="preserve"> </w:t>
      </w:r>
      <w:proofErr w:type="spellStart"/>
      <w:r w:rsidRPr="008F0DA6">
        <w:rPr>
          <w:color w:val="000000"/>
        </w:rPr>
        <w:t>Psychol</w:t>
      </w:r>
      <w:proofErr w:type="spellEnd"/>
      <w:r w:rsidRPr="008F0DA6">
        <w:rPr>
          <w:color w:val="000000"/>
        </w:rPr>
        <w:t xml:space="preserve"> Meas. 2001;61: 303–316.</w:t>
      </w:r>
    </w:p>
    <w:p w14:paraId="67BC41D7"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28. </w:t>
      </w:r>
      <w:r w:rsidRPr="008F0DA6">
        <w:rPr>
          <w:color w:val="000000"/>
        </w:rPr>
        <w:tab/>
      </w:r>
      <w:r w:rsidRPr="008F0DA6">
        <w:rPr>
          <w:color w:val="000000"/>
        </w:rPr>
        <w:t xml:space="preserve">Kao Y-C, Liu Y-P, Lu C-W. Beck Hopelessness Scale: exploring its dimensionality in patients with schizophrenia. </w:t>
      </w:r>
      <w:proofErr w:type="spellStart"/>
      <w:r w:rsidRPr="008F0DA6">
        <w:rPr>
          <w:color w:val="000000"/>
        </w:rPr>
        <w:t>Psychiatr</w:t>
      </w:r>
      <w:proofErr w:type="spellEnd"/>
      <w:r w:rsidRPr="008F0DA6">
        <w:rPr>
          <w:color w:val="000000"/>
        </w:rPr>
        <w:t xml:space="preserve"> Q. 2012;83: 241–255.</w:t>
      </w:r>
    </w:p>
    <w:p w14:paraId="67BC41D8"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29. </w:t>
      </w:r>
      <w:r w:rsidRPr="008F0DA6">
        <w:rPr>
          <w:color w:val="000000"/>
        </w:rPr>
        <w:tab/>
      </w:r>
      <w:r w:rsidRPr="008F0DA6">
        <w:rPr>
          <w:color w:val="000000"/>
        </w:rPr>
        <w:t xml:space="preserve">Beck AT, Steer RA, </w:t>
      </w:r>
      <w:proofErr w:type="spellStart"/>
      <w:r w:rsidRPr="008F0DA6">
        <w:rPr>
          <w:color w:val="000000"/>
        </w:rPr>
        <w:t>Carbin</w:t>
      </w:r>
      <w:proofErr w:type="spellEnd"/>
      <w:r w:rsidRPr="008F0DA6">
        <w:rPr>
          <w:color w:val="000000"/>
        </w:rPr>
        <w:t xml:space="preserve"> MG. Psychometric properties of the Beck Depression Inventory: Twenty-five years of evaluation. Clin </w:t>
      </w:r>
      <w:proofErr w:type="spellStart"/>
      <w:r w:rsidRPr="008F0DA6">
        <w:rPr>
          <w:color w:val="000000"/>
        </w:rPr>
        <w:t>Psychol</w:t>
      </w:r>
      <w:proofErr w:type="spellEnd"/>
      <w:r w:rsidRPr="008F0DA6">
        <w:rPr>
          <w:color w:val="000000"/>
        </w:rPr>
        <w:t xml:space="preserve"> Rev. 1988;8: 77–100.</w:t>
      </w:r>
    </w:p>
    <w:p w14:paraId="67BC41D9"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30. </w:t>
      </w:r>
      <w:r w:rsidRPr="008F0DA6">
        <w:rPr>
          <w:color w:val="000000"/>
        </w:rPr>
        <w:tab/>
      </w:r>
      <w:r w:rsidRPr="008F0DA6">
        <w:rPr>
          <w:color w:val="000000"/>
        </w:rPr>
        <w:t xml:space="preserve">Buss AH, Perry M. The Aggression Questionnaire. J </w:t>
      </w:r>
      <w:proofErr w:type="spellStart"/>
      <w:r w:rsidRPr="008F0DA6">
        <w:rPr>
          <w:color w:val="000000"/>
        </w:rPr>
        <w:t>Pers</w:t>
      </w:r>
      <w:proofErr w:type="spellEnd"/>
      <w:r w:rsidRPr="008F0DA6">
        <w:rPr>
          <w:color w:val="000000"/>
        </w:rPr>
        <w:t xml:space="preserve"> Soc Psychol. 1992;63: 452–459.</w:t>
      </w:r>
    </w:p>
    <w:p w14:paraId="67BC41DA"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31. </w:t>
      </w:r>
      <w:r w:rsidRPr="008F0DA6">
        <w:rPr>
          <w:color w:val="000000"/>
        </w:rPr>
        <w:tab/>
      </w:r>
      <w:r w:rsidRPr="008F0DA6">
        <w:rPr>
          <w:color w:val="000000"/>
        </w:rPr>
        <w:t xml:space="preserve">Maxwell JP. Development and Preliminary Validation of a Chinese Version of the Buss–Perry Aggression Questionnaire in a Population of Hong Kong Chinese. J </w:t>
      </w:r>
      <w:proofErr w:type="spellStart"/>
      <w:r w:rsidRPr="008F0DA6">
        <w:rPr>
          <w:color w:val="000000"/>
        </w:rPr>
        <w:t>Pers</w:t>
      </w:r>
      <w:proofErr w:type="spellEnd"/>
      <w:r w:rsidRPr="008F0DA6">
        <w:rPr>
          <w:color w:val="000000"/>
        </w:rPr>
        <w:t xml:space="preserve"> Assess. 2007;88: 284–294.</w:t>
      </w:r>
    </w:p>
    <w:p w14:paraId="67BC41DB"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32. </w:t>
      </w:r>
      <w:r w:rsidRPr="008F0DA6">
        <w:rPr>
          <w:color w:val="000000"/>
        </w:rPr>
        <w:tab/>
      </w:r>
      <w:r w:rsidRPr="008F0DA6">
        <w:rPr>
          <w:color w:val="000000"/>
        </w:rPr>
        <w:t>Patton JH, Stanford MS, Barratt ES. Factor structure of the Barratt impulsiveness scale. J Clin Psychol. 1995;51: 768–774.</w:t>
      </w:r>
    </w:p>
    <w:p w14:paraId="67BC41DC"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33. </w:t>
      </w:r>
      <w:r w:rsidRPr="008F0DA6">
        <w:rPr>
          <w:color w:val="000000"/>
        </w:rPr>
        <w:tab/>
      </w:r>
      <w:r w:rsidRPr="008F0DA6">
        <w:rPr>
          <w:color w:val="000000"/>
        </w:rPr>
        <w:t>Vasconcelos AG, Malloy-</w:t>
      </w:r>
      <w:proofErr w:type="spellStart"/>
      <w:r w:rsidRPr="008F0DA6">
        <w:rPr>
          <w:color w:val="000000"/>
        </w:rPr>
        <w:t>Diniz</w:t>
      </w:r>
      <w:proofErr w:type="spellEnd"/>
      <w:r w:rsidRPr="008F0DA6">
        <w:rPr>
          <w:color w:val="000000"/>
        </w:rPr>
        <w:t xml:space="preserve"> L, Correa H. Systematic review of psychometric proprieties of Barratt impulsiveness scale version 11 (bis-11). 2012 [cited 18 Dec 2023]. Available: </w:t>
      </w:r>
      <w:hyperlink r:id="rId9">
        <w:r w:rsidRPr="008F0DA6">
          <w:rPr>
            <w:color w:val="000000"/>
          </w:rPr>
          <w:t>https://citeseerx.ist.psu.edu/document?repid=rep1&amp;type=pdf&amp;doi=dc5904fa916010211b0c23c7e0beba4eb365b4de</w:t>
        </w:r>
      </w:hyperlink>
    </w:p>
    <w:p w14:paraId="67BC41DD"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34. </w:t>
      </w:r>
      <w:r w:rsidRPr="008F0DA6">
        <w:rPr>
          <w:color w:val="000000"/>
        </w:rPr>
        <w:tab/>
      </w:r>
      <w:r w:rsidRPr="008F0DA6">
        <w:rPr>
          <w:color w:val="000000"/>
        </w:rPr>
        <w:t xml:space="preserve">Yao S, Yang H, Zhu X, Auerbach RP, Abela JRZ, </w:t>
      </w:r>
      <w:proofErr w:type="spellStart"/>
      <w:r w:rsidRPr="008F0DA6">
        <w:rPr>
          <w:color w:val="000000"/>
        </w:rPr>
        <w:t>Pulleyblank</w:t>
      </w:r>
      <w:proofErr w:type="spellEnd"/>
      <w:r w:rsidRPr="008F0DA6">
        <w:rPr>
          <w:color w:val="000000"/>
        </w:rPr>
        <w:t xml:space="preserve"> RW, et al. An examination of the psychometric properties of the Chinese version of the Barratt Impulsiveness Scale, 11th version in a sample of Chinese adolescents. Percept Mot Skills. 2007;104: 1169–1182.</w:t>
      </w:r>
    </w:p>
    <w:p w14:paraId="67BC41DE"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35. </w:t>
      </w:r>
      <w:r w:rsidRPr="008F0DA6">
        <w:rPr>
          <w:color w:val="000000"/>
        </w:rPr>
        <w:tab/>
      </w:r>
      <w:r w:rsidRPr="008F0DA6">
        <w:rPr>
          <w:color w:val="000000"/>
        </w:rPr>
        <w:t xml:space="preserve">Stanford MS, Mathias CW, Dougherty DM, Lake SL, Anderson NE, Patton JH. Fifty years of the Barratt Impulsiveness Scale: An update and review. </w:t>
      </w:r>
      <w:proofErr w:type="spellStart"/>
      <w:r w:rsidRPr="008F0DA6">
        <w:rPr>
          <w:color w:val="000000"/>
        </w:rPr>
        <w:t>Pers</w:t>
      </w:r>
      <w:proofErr w:type="spellEnd"/>
      <w:r w:rsidRPr="008F0DA6">
        <w:rPr>
          <w:color w:val="000000"/>
        </w:rPr>
        <w:t xml:space="preserve"> </w:t>
      </w:r>
      <w:proofErr w:type="spellStart"/>
      <w:r w:rsidRPr="008F0DA6">
        <w:rPr>
          <w:color w:val="000000"/>
        </w:rPr>
        <w:t>Individ</w:t>
      </w:r>
      <w:proofErr w:type="spellEnd"/>
      <w:r w:rsidRPr="008F0DA6">
        <w:rPr>
          <w:color w:val="000000"/>
        </w:rPr>
        <w:t xml:space="preserve"> Dif. 2009;47: 385–395.</w:t>
      </w:r>
    </w:p>
    <w:p w14:paraId="67BC41DF"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36. </w:t>
      </w:r>
      <w:r w:rsidRPr="008F0DA6">
        <w:rPr>
          <w:color w:val="000000"/>
        </w:rPr>
        <w:tab/>
      </w:r>
      <w:r w:rsidRPr="008F0DA6">
        <w:rPr>
          <w:color w:val="000000"/>
        </w:rPr>
        <w:t>Fok CCT, Allen J, Henry D, People Awakening Team. The brief family relationship scale: a brief measure of the relationship dimension in family functioning. Assessment. 2014;21: 67–72.</w:t>
      </w:r>
    </w:p>
    <w:p w14:paraId="67BC41E0"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37. </w:t>
      </w:r>
      <w:r w:rsidRPr="008F0DA6">
        <w:rPr>
          <w:color w:val="000000"/>
        </w:rPr>
        <w:tab/>
      </w:r>
      <w:r w:rsidRPr="008F0DA6">
        <w:rPr>
          <w:color w:val="000000"/>
        </w:rPr>
        <w:t xml:space="preserve">Ledbetter AM. Measuring Online Communication Attitude: Instrument Development and Validation. </w:t>
      </w:r>
      <w:proofErr w:type="spellStart"/>
      <w:r w:rsidRPr="008F0DA6">
        <w:rPr>
          <w:color w:val="000000"/>
        </w:rPr>
        <w:t>Commun</w:t>
      </w:r>
      <w:proofErr w:type="spellEnd"/>
      <w:r w:rsidRPr="008F0DA6">
        <w:rPr>
          <w:color w:val="000000"/>
        </w:rPr>
        <w:t xml:space="preserve"> </w:t>
      </w:r>
      <w:proofErr w:type="spellStart"/>
      <w:r w:rsidRPr="008F0DA6">
        <w:rPr>
          <w:color w:val="000000"/>
        </w:rPr>
        <w:t>Monogr</w:t>
      </w:r>
      <w:proofErr w:type="spellEnd"/>
      <w:r w:rsidRPr="008F0DA6">
        <w:rPr>
          <w:color w:val="000000"/>
        </w:rPr>
        <w:t>. 2009;76: 463–486.</w:t>
      </w:r>
    </w:p>
    <w:p w14:paraId="67BC41E1"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38. </w:t>
      </w:r>
      <w:r w:rsidRPr="008F0DA6">
        <w:rPr>
          <w:color w:val="000000"/>
        </w:rPr>
        <w:tab/>
      </w:r>
      <w:r w:rsidRPr="008F0DA6">
        <w:rPr>
          <w:color w:val="000000"/>
        </w:rPr>
        <w:t xml:space="preserve">Campbell-Sills L, Forde DR, Stein MB. Demographic and childhood environmental predictors of resilience in a community sample. J </w:t>
      </w:r>
      <w:proofErr w:type="spellStart"/>
      <w:r w:rsidRPr="008F0DA6">
        <w:rPr>
          <w:color w:val="000000"/>
        </w:rPr>
        <w:t>Psychiatr</w:t>
      </w:r>
      <w:proofErr w:type="spellEnd"/>
      <w:r w:rsidRPr="008F0DA6">
        <w:rPr>
          <w:color w:val="000000"/>
        </w:rPr>
        <w:t xml:space="preserve"> Res. 2009;43: 1007–1012.</w:t>
      </w:r>
    </w:p>
    <w:p w14:paraId="67BC41E2"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39. </w:t>
      </w:r>
      <w:r w:rsidRPr="008F0DA6">
        <w:rPr>
          <w:color w:val="000000"/>
        </w:rPr>
        <w:tab/>
      </w:r>
      <w:r w:rsidRPr="008F0DA6">
        <w:rPr>
          <w:color w:val="000000"/>
        </w:rPr>
        <w:t>She R, Yang X, Lau MMC, Lau JTF. Psychometric properties and normative data of the 10-item Connor–Davidson Resilience Scale among Chinese adolescent students in Hong Kong. Child Psychiatry Hum Dev. 2020;51: 925–933.</w:t>
      </w:r>
    </w:p>
    <w:p w14:paraId="67BC41E3"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40. </w:t>
      </w:r>
      <w:r w:rsidRPr="008F0DA6">
        <w:rPr>
          <w:color w:val="000000"/>
        </w:rPr>
        <w:tab/>
      </w:r>
      <w:r w:rsidRPr="008F0DA6">
        <w:rPr>
          <w:color w:val="000000"/>
        </w:rPr>
        <w:t xml:space="preserve">Rosenberg. Rosenberg self-esteem scale (RSE). Acceptance and commitment therapy. 1965. Available: </w:t>
      </w:r>
      <w:hyperlink r:id="rId10" w:anchor="page=61">
        <w:r w:rsidRPr="008F0DA6">
          <w:rPr>
            <w:color w:val="000000"/>
          </w:rPr>
          <w:t>https://integrativehealthpartners.org/downloads/ACTmeasures.pdf#page=61</w:t>
        </w:r>
      </w:hyperlink>
    </w:p>
    <w:p w14:paraId="67BC41E4"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41. </w:t>
      </w:r>
      <w:r w:rsidRPr="008F0DA6">
        <w:rPr>
          <w:color w:val="000000"/>
        </w:rPr>
        <w:tab/>
      </w:r>
      <w:r w:rsidRPr="008F0DA6">
        <w:rPr>
          <w:color w:val="000000"/>
        </w:rPr>
        <w:t xml:space="preserve">Martin CR, Thompson DR, Chan DS. An examination of the psychometric properties of the Rosenberg Self-Esteem Scale (RSES) in Chinese acute coronary syndrome (ACS) patients. </w:t>
      </w:r>
      <w:proofErr w:type="spellStart"/>
      <w:r w:rsidRPr="008F0DA6">
        <w:rPr>
          <w:color w:val="000000"/>
        </w:rPr>
        <w:t>Psychol</w:t>
      </w:r>
      <w:proofErr w:type="spellEnd"/>
      <w:r w:rsidRPr="008F0DA6">
        <w:rPr>
          <w:color w:val="000000"/>
        </w:rPr>
        <w:t xml:space="preserve"> Health Med. 2006;11: 507–521.</w:t>
      </w:r>
    </w:p>
    <w:p w14:paraId="67BC41E5"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42. </w:t>
      </w:r>
      <w:r w:rsidRPr="008F0DA6">
        <w:rPr>
          <w:color w:val="000000"/>
        </w:rPr>
        <w:tab/>
      </w:r>
      <w:r w:rsidRPr="008F0DA6">
        <w:rPr>
          <w:color w:val="000000"/>
        </w:rPr>
        <w:t xml:space="preserve">Hollenbeck JR, Klein HJ, O’Leary AM, Wright PM. Investigation of the construct validity of a self-report measure of goal commitment. J </w:t>
      </w:r>
      <w:proofErr w:type="spellStart"/>
      <w:r w:rsidRPr="008F0DA6">
        <w:rPr>
          <w:color w:val="000000"/>
        </w:rPr>
        <w:t>Appl</w:t>
      </w:r>
      <w:proofErr w:type="spellEnd"/>
      <w:r w:rsidRPr="008F0DA6">
        <w:rPr>
          <w:color w:val="000000"/>
        </w:rPr>
        <w:t xml:space="preserve"> Psychol. 1989;74: 951–956.</w:t>
      </w:r>
    </w:p>
    <w:p w14:paraId="67BC41E6"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43. </w:t>
      </w:r>
      <w:r w:rsidRPr="008F0DA6">
        <w:rPr>
          <w:color w:val="000000"/>
        </w:rPr>
        <w:tab/>
      </w:r>
      <w:r w:rsidRPr="008F0DA6">
        <w:rPr>
          <w:color w:val="000000"/>
        </w:rPr>
        <w:t xml:space="preserve">Klein HJ, Wesson MJ, Hollenbeck JR, Wright PM, </w:t>
      </w:r>
      <w:proofErr w:type="spellStart"/>
      <w:r w:rsidRPr="008F0DA6">
        <w:rPr>
          <w:color w:val="000000"/>
        </w:rPr>
        <w:t>DeShon</w:t>
      </w:r>
      <w:proofErr w:type="spellEnd"/>
      <w:r w:rsidRPr="008F0DA6">
        <w:rPr>
          <w:color w:val="000000"/>
        </w:rPr>
        <w:t xml:space="preserve"> RP. The Assessment of Goal Commitment: A Measurement Model Meta-Analysis. Organ </w:t>
      </w:r>
      <w:proofErr w:type="spellStart"/>
      <w:r w:rsidRPr="008F0DA6">
        <w:rPr>
          <w:color w:val="000000"/>
        </w:rPr>
        <w:t>Behav</w:t>
      </w:r>
      <w:proofErr w:type="spellEnd"/>
      <w:r w:rsidRPr="008F0DA6">
        <w:rPr>
          <w:color w:val="000000"/>
        </w:rPr>
        <w:t xml:space="preserve"> Hum </w:t>
      </w:r>
      <w:proofErr w:type="spellStart"/>
      <w:r w:rsidRPr="008F0DA6">
        <w:rPr>
          <w:color w:val="000000"/>
        </w:rPr>
        <w:t>Decis</w:t>
      </w:r>
      <w:proofErr w:type="spellEnd"/>
      <w:r w:rsidRPr="008F0DA6">
        <w:rPr>
          <w:color w:val="000000"/>
        </w:rPr>
        <w:t xml:space="preserve"> Process. 2001;85: 32–55.</w:t>
      </w:r>
    </w:p>
    <w:p w14:paraId="67BC41E7" w14:textId="77777777" w:rsidR="00D61F9D" w:rsidRPr="008F0DA6" w:rsidRDefault="008F0DA6">
      <w:pPr>
        <w:widowControl w:val="0"/>
        <w:pBdr>
          <w:top w:val="nil"/>
          <w:left w:val="nil"/>
          <w:bottom w:val="nil"/>
          <w:right w:val="nil"/>
          <w:between w:val="nil"/>
        </w:pBdr>
        <w:spacing w:after="220" w:line="240" w:lineRule="auto"/>
        <w:ind w:left="440" w:hanging="440"/>
        <w:rPr>
          <w:color w:val="000000"/>
        </w:rPr>
      </w:pPr>
      <w:r w:rsidRPr="008F0DA6">
        <w:rPr>
          <w:color w:val="000000"/>
        </w:rPr>
        <w:t xml:space="preserve">44. </w:t>
      </w:r>
      <w:r w:rsidRPr="008F0DA6">
        <w:rPr>
          <w:color w:val="000000"/>
        </w:rPr>
        <w:tab/>
      </w:r>
      <w:r w:rsidRPr="008F0DA6">
        <w:rPr>
          <w:color w:val="000000"/>
        </w:rPr>
        <w:t xml:space="preserve">Sirois FM, Yang S, van </w:t>
      </w:r>
      <w:proofErr w:type="spellStart"/>
      <w:r w:rsidRPr="008F0DA6">
        <w:rPr>
          <w:color w:val="000000"/>
        </w:rPr>
        <w:t>Eerde</w:t>
      </w:r>
      <w:proofErr w:type="spellEnd"/>
      <w:r w:rsidRPr="008F0DA6">
        <w:rPr>
          <w:color w:val="000000"/>
        </w:rPr>
        <w:t xml:space="preserve"> W. Development and validation of the General Procrastination Scale (GPS-9): A short and reliable measure of trait procrastination. </w:t>
      </w:r>
      <w:proofErr w:type="spellStart"/>
      <w:r w:rsidRPr="008F0DA6">
        <w:rPr>
          <w:color w:val="000000"/>
        </w:rPr>
        <w:t>Pers</w:t>
      </w:r>
      <w:proofErr w:type="spellEnd"/>
      <w:r w:rsidRPr="008F0DA6">
        <w:rPr>
          <w:color w:val="000000"/>
        </w:rPr>
        <w:t xml:space="preserve"> </w:t>
      </w:r>
      <w:proofErr w:type="spellStart"/>
      <w:r w:rsidRPr="008F0DA6">
        <w:rPr>
          <w:color w:val="000000"/>
        </w:rPr>
        <w:t>Individ</w:t>
      </w:r>
      <w:proofErr w:type="spellEnd"/>
      <w:r w:rsidRPr="008F0DA6">
        <w:rPr>
          <w:color w:val="000000"/>
        </w:rPr>
        <w:t xml:space="preserve"> Dif. 2019;146: 26–33.</w:t>
      </w:r>
    </w:p>
    <w:p w14:paraId="67BC41E8" w14:textId="77777777" w:rsidR="00D61F9D" w:rsidRPr="008F0DA6" w:rsidRDefault="00D61F9D">
      <w:pPr>
        <w:spacing w:line="240" w:lineRule="auto"/>
        <w:ind w:left="0"/>
      </w:pPr>
    </w:p>
    <w:p w14:paraId="67BC41E9" w14:textId="77777777" w:rsidR="00D61F9D" w:rsidRPr="008F0DA6" w:rsidRDefault="00D61F9D">
      <w:pPr>
        <w:spacing w:line="240" w:lineRule="auto"/>
        <w:ind w:left="0"/>
      </w:pPr>
    </w:p>
    <w:p w14:paraId="67BC41EA" w14:textId="77777777" w:rsidR="00D61F9D" w:rsidRPr="008F0DA6" w:rsidRDefault="00D61F9D">
      <w:pPr>
        <w:spacing w:line="240" w:lineRule="auto"/>
        <w:ind w:left="0"/>
      </w:pPr>
    </w:p>
    <w:p w14:paraId="67BC41EB" w14:textId="77777777" w:rsidR="00D61F9D" w:rsidRPr="008F0DA6" w:rsidRDefault="00D61F9D">
      <w:pPr>
        <w:widowControl w:val="0"/>
        <w:spacing w:after="240" w:line="240" w:lineRule="auto"/>
        <w:ind w:left="480" w:hanging="480"/>
        <w:rPr>
          <w:highlight w:val="white"/>
        </w:rPr>
      </w:pPr>
    </w:p>
    <w:p w14:paraId="67BC41EC" w14:textId="77777777" w:rsidR="00D61F9D" w:rsidRPr="008F0DA6" w:rsidRDefault="00D61F9D">
      <w:pPr>
        <w:widowControl w:val="0"/>
        <w:spacing w:after="240" w:line="240" w:lineRule="auto"/>
        <w:ind w:left="480" w:hanging="480"/>
        <w:rPr>
          <w:highlight w:val="white"/>
        </w:rPr>
      </w:pPr>
    </w:p>
    <w:p w14:paraId="67BC41ED" w14:textId="77777777" w:rsidR="00D61F9D" w:rsidRPr="008F0DA6" w:rsidRDefault="00D61F9D">
      <w:pPr>
        <w:widowControl w:val="0"/>
        <w:spacing w:after="240" w:line="240" w:lineRule="auto"/>
        <w:ind w:left="480" w:hanging="480"/>
        <w:rPr>
          <w:highlight w:val="white"/>
        </w:rPr>
      </w:pPr>
    </w:p>
    <w:p w14:paraId="67BC41EE" w14:textId="77777777" w:rsidR="00D61F9D" w:rsidRPr="008F0DA6" w:rsidRDefault="00D61F9D">
      <w:pPr>
        <w:widowControl w:val="0"/>
        <w:spacing w:after="240" w:line="240" w:lineRule="auto"/>
        <w:ind w:left="480" w:hanging="480"/>
        <w:rPr>
          <w:highlight w:val="white"/>
        </w:rPr>
      </w:pPr>
    </w:p>
    <w:p w14:paraId="67BC41EF" w14:textId="77777777" w:rsidR="00D61F9D" w:rsidRPr="008F0DA6" w:rsidRDefault="00D61F9D">
      <w:pPr>
        <w:widowControl w:val="0"/>
        <w:spacing w:after="240" w:line="240" w:lineRule="auto"/>
        <w:ind w:left="480" w:hanging="480"/>
        <w:rPr>
          <w:highlight w:val="white"/>
        </w:rPr>
      </w:pPr>
    </w:p>
    <w:p w14:paraId="67BC41F0" w14:textId="77777777" w:rsidR="00D61F9D" w:rsidRPr="008F0DA6" w:rsidRDefault="00D61F9D">
      <w:pPr>
        <w:widowControl w:val="0"/>
        <w:spacing w:after="240" w:line="240" w:lineRule="auto"/>
        <w:ind w:left="480" w:hanging="480"/>
        <w:rPr>
          <w:highlight w:val="white"/>
        </w:rPr>
        <w:sectPr w:rsidR="00D61F9D" w:rsidRPr="008F0DA6">
          <w:pgSz w:w="11909" w:h="16834"/>
          <w:pgMar w:top="1440" w:right="1440" w:bottom="1440" w:left="1440" w:header="720" w:footer="720" w:gutter="0"/>
          <w:cols w:space="720"/>
        </w:sectPr>
      </w:pPr>
    </w:p>
    <w:p w14:paraId="67BC41F1" w14:textId="77777777" w:rsidR="00D61F9D" w:rsidRPr="008F0DA6" w:rsidRDefault="008F0DA6">
      <w:pPr>
        <w:pStyle w:val="Heading2"/>
        <w:widowControl w:val="0"/>
        <w:spacing w:after="0"/>
        <w:ind w:left="480" w:hanging="480"/>
      </w:pPr>
      <w:bookmarkStart w:id="20" w:name="_weizqdkcxlgn" w:colFirst="0" w:colLast="0"/>
      <w:bookmarkEnd w:id="20"/>
      <w:r w:rsidRPr="008F0DA6">
        <w:t>S2. Parallel Analysis Scree Plots for five loneliness scales.</w:t>
      </w:r>
    </w:p>
    <w:p w14:paraId="67BC41F2" w14:textId="77777777" w:rsidR="00D61F9D" w:rsidRPr="008F0DA6" w:rsidRDefault="008F0DA6">
      <w:pPr>
        <w:spacing w:line="240" w:lineRule="auto"/>
        <w:ind w:left="0"/>
      </w:pPr>
      <w:r w:rsidRPr="008F0DA6">
        <w:t>The scree plots display the eigenvalues of the actual data as a blue line, while the simulated and resampled data are represented by two overlapping red lines. In this analysis, we examine the significant declines in the observed data and identify the exact point at which it stabilises on the right side. Additionally, we determine the point of inflection, which is the point at which the discrepancy between the simulated data and the actual data is minimised.</w:t>
      </w:r>
    </w:p>
    <w:tbl>
      <w:tblPr>
        <w:tblStyle w:val="a"/>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00"/>
        <w:gridCol w:w="4500"/>
      </w:tblGrid>
      <w:tr w:rsidR="00D61F9D" w:rsidRPr="008F0DA6" w14:paraId="67BC41F5" w14:textId="77777777">
        <w:tc>
          <w:tcPr>
            <w:tcW w:w="4500" w:type="dxa"/>
            <w:tcBorders>
              <w:top w:val="nil"/>
              <w:left w:val="nil"/>
              <w:bottom w:val="nil"/>
              <w:right w:val="nil"/>
            </w:tcBorders>
            <w:shd w:val="clear" w:color="auto" w:fill="auto"/>
            <w:tcMar>
              <w:top w:w="0" w:type="dxa"/>
              <w:left w:w="0" w:type="dxa"/>
              <w:bottom w:w="0" w:type="dxa"/>
              <w:right w:w="0" w:type="dxa"/>
            </w:tcMar>
          </w:tcPr>
          <w:p w14:paraId="67BC41F3" w14:textId="77777777" w:rsidR="00D61F9D" w:rsidRPr="008F0DA6" w:rsidRDefault="008F0DA6">
            <w:pPr>
              <w:widowControl w:val="0"/>
              <w:numPr>
                <w:ilvl w:val="0"/>
                <w:numId w:val="1"/>
              </w:numPr>
              <w:pBdr>
                <w:top w:val="nil"/>
                <w:left w:val="nil"/>
                <w:bottom w:val="nil"/>
                <w:right w:val="nil"/>
                <w:between w:val="nil"/>
              </w:pBdr>
              <w:spacing w:after="0" w:line="240" w:lineRule="auto"/>
              <w:ind w:left="0" w:firstLine="0"/>
              <w:rPr>
                <w:b/>
                <w:highlight w:val="white"/>
              </w:rPr>
            </w:pPr>
            <w:r w:rsidRPr="008F0DA6">
              <w:rPr>
                <w:b/>
                <w:highlight w:val="white"/>
              </w:rPr>
              <w:t>UCLA-LSV3</w:t>
            </w:r>
          </w:p>
        </w:tc>
        <w:tc>
          <w:tcPr>
            <w:tcW w:w="4500" w:type="dxa"/>
            <w:tcBorders>
              <w:top w:val="nil"/>
              <w:left w:val="nil"/>
              <w:bottom w:val="nil"/>
              <w:right w:val="nil"/>
            </w:tcBorders>
            <w:shd w:val="clear" w:color="auto" w:fill="auto"/>
            <w:tcMar>
              <w:top w:w="0" w:type="dxa"/>
              <w:left w:w="0" w:type="dxa"/>
              <w:bottom w:w="0" w:type="dxa"/>
              <w:right w:w="0" w:type="dxa"/>
            </w:tcMar>
          </w:tcPr>
          <w:p w14:paraId="67BC41F4" w14:textId="77777777" w:rsidR="00D61F9D" w:rsidRPr="008F0DA6" w:rsidRDefault="008F0DA6">
            <w:pPr>
              <w:widowControl w:val="0"/>
              <w:numPr>
                <w:ilvl w:val="0"/>
                <w:numId w:val="1"/>
              </w:numPr>
              <w:pBdr>
                <w:top w:val="nil"/>
                <w:left w:val="nil"/>
                <w:bottom w:val="nil"/>
                <w:right w:val="nil"/>
                <w:between w:val="nil"/>
              </w:pBdr>
              <w:spacing w:after="0" w:line="240" w:lineRule="auto"/>
              <w:ind w:left="0" w:firstLine="0"/>
              <w:rPr>
                <w:b/>
                <w:highlight w:val="white"/>
              </w:rPr>
            </w:pPr>
            <w:r w:rsidRPr="008F0DA6">
              <w:rPr>
                <w:b/>
                <w:highlight w:val="white"/>
              </w:rPr>
              <w:t>ULS-3</w:t>
            </w:r>
          </w:p>
        </w:tc>
      </w:tr>
      <w:tr w:rsidR="00D61F9D" w:rsidRPr="008F0DA6" w14:paraId="67BC41F8" w14:textId="77777777">
        <w:tc>
          <w:tcPr>
            <w:tcW w:w="4500" w:type="dxa"/>
            <w:tcBorders>
              <w:top w:val="nil"/>
              <w:left w:val="nil"/>
              <w:bottom w:val="nil"/>
              <w:right w:val="nil"/>
            </w:tcBorders>
            <w:shd w:val="clear" w:color="auto" w:fill="auto"/>
            <w:tcMar>
              <w:top w:w="0" w:type="dxa"/>
              <w:left w:w="0" w:type="dxa"/>
              <w:bottom w:w="0" w:type="dxa"/>
              <w:right w:w="0" w:type="dxa"/>
            </w:tcMar>
          </w:tcPr>
          <w:p w14:paraId="67BC41F6" w14:textId="77777777" w:rsidR="00D61F9D" w:rsidRPr="008F0DA6" w:rsidRDefault="008F0DA6">
            <w:pPr>
              <w:widowControl w:val="0"/>
              <w:spacing w:after="0" w:line="240" w:lineRule="auto"/>
              <w:ind w:left="0"/>
              <w:rPr>
                <w:b/>
                <w:highlight w:val="white"/>
              </w:rPr>
            </w:pPr>
            <w:r w:rsidRPr="008F0DA6">
              <w:rPr>
                <w:b/>
                <w:noProof/>
                <w:highlight w:val="white"/>
              </w:rPr>
              <w:drawing>
                <wp:inline distT="114300" distB="114300" distL="114300" distR="114300" wp14:anchorId="67BC42D2" wp14:editId="67BC42D3">
                  <wp:extent cx="2724150" cy="20701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724150" cy="2070100"/>
                          </a:xfrm>
                          <a:prstGeom prst="rect">
                            <a:avLst/>
                          </a:prstGeom>
                          <a:ln/>
                        </pic:spPr>
                      </pic:pic>
                    </a:graphicData>
                  </a:graphic>
                </wp:inline>
              </w:drawing>
            </w:r>
          </w:p>
        </w:tc>
        <w:tc>
          <w:tcPr>
            <w:tcW w:w="4500" w:type="dxa"/>
            <w:tcBorders>
              <w:top w:val="nil"/>
              <w:left w:val="nil"/>
              <w:bottom w:val="nil"/>
              <w:right w:val="nil"/>
            </w:tcBorders>
            <w:shd w:val="clear" w:color="auto" w:fill="auto"/>
            <w:tcMar>
              <w:top w:w="0" w:type="dxa"/>
              <w:left w:w="0" w:type="dxa"/>
              <w:bottom w:w="0" w:type="dxa"/>
              <w:right w:w="0" w:type="dxa"/>
            </w:tcMar>
          </w:tcPr>
          <w:p w14:paraId="67BC41F7" w14:textId="77777777" w:rsidR="00D61F9D" w:rsidRPr="008F0DA6" w:rsidRDefault="008F0DA6">
            <w:pPr>
              <w:widowControl w:val="0"/>
              <w:spacing w:after="0" w:line="240" w:lineRule="auto"/>
              <w:ind w:left="0"/>
              <w:rPr>
                <w:b/>
                <w:highlight w:val="white"/>
              </w:rPr>
            </w:pPr>
            <w:r w:rsidRPr="008F0DA6">
              <w:rPr>
                <w:b/>
                <w:noProof/>
                <w:highlight w:val="white"/>
              </w:rPr>
              <w:drawing>
                <wp:inline distT="114300" distB="114300" distL="114300" distR="114300" wp14:anchorId="67BC42D4" wp14:editId="67BC42D5">
                  <wp:extent cx="2724150" cy="20701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2724150" cy="2070100"/>
                          </a:xfrm>
                          <a:prstGeom prst="rect">
                            <a:avLst/>
                          </a:prstGeom>
                          <a:ln/>
                        </pic:spPr>
                      </pic:pic>
                    </a:graphicData>
                  </a:graphic>
                </wp:inline>
              </w:drawing>
            </w:r>
          </w:p>
        </w:tc>
      </w:tr>
      <w:tr w:rsidR="00D61F9D" w:rsidRPr="008F0DA6" w14:paraId="67BC41FB" w14:textId="77777777">
        <w:tc>
          <w:tcPr>
            <w:tcW w:w="4500" w:type="dxa"/>
            <w:tcBorders>
              <w:top w:val="nil"/>
              <w:left w:val="nil"/>
              <w:bottom w:val="nil"/>
              <w:right w:val="nil"/>
            </w:tcBorders>
            <w:shd w:val="clear" w:color="auto" w:fill="auto"/>
            <w:tcMar>
              <w:top w:w="0" w:type="dxa"/>
              <w:left w:w="0" w:type="dxa"/>
              <w:bottom w:w="0" w:type="dxa"/>
              <w:right w:w="0" w:type="dxa"/>
            </w:tcMar>
          </w:tcPr>
          <w:p w14:paraId="67BC41F9" w14:textId="77777777" w:rsidR="00D61F9D" w:rsidRPr="008F0DA6" w:rsidRDefault="008F0DA6">
            <w:pPr>
              <w:widowControl w:val="0"/>
              <w:numPr>
                <w:ilvl w:val="0"/>
                <w:numId w:val="1"/>
              </w:numPr>
              <w:spacing w:after="0" w:line="240" w:lineRule="auto"/>
              <w:ind w:left="0" w:firstLine="0"/>
              <w:rPr>
                <w:b/>
                <w:highlight w:val="white"/>
              </w:rPr>
            </w:pPr>
            <w:r w:rsidRPr="008F0DA6">
              <w:rPr>
                <w:b/>
                <w:highlight w:val="white"/>
              </w:rPr>
              <w:t>ULS-6</w:t>
            </w:r>
          </w:p>
        </w:tc>
        <w:tc>
          <w:tcPr>
            <w:tcW w:w="4500" w:type="dxa"/>
            <w:tcBorders>
              <w:top w:val="nil"/>
              <w:left w:val="nil"/>
              <w:bottom w:val="nil"/>
              <w:right w:val="nil"/>
            </w:tcBorders>
            <w:shd w:val="clear" w:color="auto" w:fill="auto"/>
            <w:tcMar>
              <w:top w:w="0" w:type="dxa"/>
              <w:left w:w="0" w:type="dxa"/>
              <w:bottom w:w="0" w:type="dxa"/>
              <w:right w:w="0" w:type="dxa"/>
            </w:tcMar>
          </w:tcPr>
          <w:p w14:paraId="67BC41FA" w14:textId="77777777" w:rsidR="00D61F9D" w:rsidRPr="008F0DA6" w:rsidRDefault="008F0DA6">
            <w:pPr>
              <w:widowControl w:val="0"/>
              <w:numPr>
                <w:ilvl w:val="0"/>
                <w:numId w:val="1"/>
              </w:numPr>
              <w:spacing w:after="0" w:line="240" w:lineRule="auto"/>
              <w:ind w:left="0" w:firstLine="0"/>
              <w:rPr>
                <w:b/>
                <w:highlight w:val="white"/>
              </w:rPr>
            </w:pPr>
            <w:r w:rsidRPr="008F0DA6">
              <w:rPr>
                <w:b/>
                <w:highlight w:val="white"/>
              </w:rPr>
              <w:t>ULS-8</w:t>
            </w:r>
          </w:p>
        </w:tc>
      </w:tr>
      <w:tr w:rsidR="00D61F9D" w:rsidRPr="008F0DA6" w14:paraId="67BC41FE" w14:textId="77777777">
        <w:tc>
          <w:tcPr>
            <w:tcW w:w="4500" w:type="dxa"/>
            <w:tcBorders>
              <w:top w:val="nil"/>
              <w:left w:val="nil"/>
              <w:bottom w:val="nil"/>
              <w:right w:val="nil"/>
            </w:tcBorders>
            <w:shd w:val="clear" w:color="auto" w:fill="auto"/>
            <w:tcMar>
              <w:top w:w="0" w:type="dxa"/>
              <w:left w:w="0" w:type="dxa"/>
              <w:bottom w:w="0" w:type="dxa"/>
              <w:right w:w="0" w:type="dxa"/>
            </w:tcMar>
          </w:tcPr>
          <w:p w14:paraId="67BC41FC" w14:textId="77777777" w:rsidR="00D61F9D" w:rsidRPr="008F0DA6" w:rsidRDefault="008F0DA6">
            <w:pPr>
              <w:widowControl w:val="0"/>
              <w:spacing w:after="0" w:line="240" w:lineRule="auto"/>
              <w:ind w:left="0"/>
              <w:rPr>
                <w:b/>
                <w:highlight w:val="white"/>
              </w:rPr>
            </w:pPr>
            <w:r w:rsidRPr="008F0DA6">
              <w:rPr>
                <w:b/>
                <w:noProof/>
                <w:highlight w:val="white"/>
              </w:rPr>
              <w:drawing>
                <wp:inline distT="114300" distB="114300" distL="114300" distR="114300" wp14:anchorId="67BC42D6" wp14:editId="67BC42D7">
                  <wp:extent cx="2724150" cy="20701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724150" cy="2070100"/>
                          </a:xfrm>
                          <a:prstGeom prst="rect">
                            <a:avLst/>
                          </a:prstGeom>
                          <a:ln/>
                        </pic:spPr>
                      </pic:pic>
                    </a:graphicData>
                  </a:graphic>
                </wp:inline>
              </w:drawing>
            </w:r>
          </w:p>
        </w:tc>
        <w:tc>
          <w:tcPr>
            <w:tcW w:w="4500" w:type="dxa"/>
            <w:tcBorders>
              <w:top w:val="nil"/>
              <w:left w:val="nil"/>
              <w:bottom w:val="nil"/>
              <w:right w:val="nil"/>
            </w:tcBorders>
            <w:shd w:val="clear" w:color="auto" w:fill="auto"/>
            <w:tcMar>
              <w:top w:w="0" w:type="dxa"/>
              <w:left w:w="0" w:type="dxa"/>
              <w:bottom w:w="0" w:type="dxa"/>
              <w:right w:w="0" w:type="dxa"/>
            </w:tcMar>
          </w:tcPr>
          <w:p w14:paraId="67BC41FD" w14:textId="77777777" w:rsidR="00D61F9D" w:rsidRPr="008F0DA6" w:rsidRDefault="008F0DA6">
            <w:pPr>
              <w:widowControl w:val="0"/>
              <w:spacing w:after="0" w:line="240" w:lineRule="auto"/>
              <w:ind w:left="0"/>
              <w:rPr>
                <w:b/>
                <w:highlight w:val="white"/>
              </w:rPr>
            </w:pPr>
            <w:r w:rsidRPr="008F0DA6">
              <w:rPr>
                <w:b/>
                <w:noProof/>
                <w:highlight w:val="white"/>
              </w:rPr>
              <w:drawing>
                <wp:inline distT="114300" distB="114300" distL="114300" distR="114300" wp14:anchorId="67BC42D8" wp14:editId="67BC42D9">
                  <wp:extent cx="2724150" cy="20701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724150" cy="2070100"/>
                          </a:xfrm>
                          <a:prstGeom prst="rect">
                            <a:avLst/>
                          </a:prstGeom>
                          <a:ln/>
                        </pic:spPr>
                      </pic:pic>
                    </a:graphicData>
                  </a:graphic>
                </wp:inline>
              </w:drawing>
            </w:r>
          </w:p>
        </w:tc>
      </w:tr>
      <w:tr w:rsidR="00D61F9D" w:rsidRPr="008F0DA6" w14:paraId="67BC4201" w14:textId="77777777">
        <w:tc>
          <w:tcPr>
            <w:tcW w:w="4500" w:type="dxa"/>
            <w:tcBorders>
              <w:top w:val="nil"/>
              <w:left w:val="nil"/>
              <w:bottom w:val="nil"/>
              <w:right w:val="nil"/>
            </w:tcBorders>
            <w:shd w:val="clear" w:color="auto" w:fill="auto"/>
            <w:tcMar>
              <w:top w:w="0" w:type="dxa"/>
              <w:left w:w="0" w:type="dxa"/>
              <w:bottom w:w="0" w:type="dxa"/>
              <w:right w:w="0" w:type="dxa"/>
            </w:tcMar>
          </w:tcPr>
          <w:p w14:paraId="67BC41FF" w14:textId="77777777" w:rsidR="00D61F9D" w:rsidRPr="008F0DA6" w:rsidRDefault="008F0DA6">
            <w:pPr>
              <w:widowControl w:val="0"/>
              <w:numPr>
                <w:ilvl w:val="0"/>
                <w:numId w:val="1"/>
              </w:numPr>
              <w:spacing w:after="0" w:line="240" w:lineRule="auto"/>
              <w:ind w:left="0" w:firstLine="0"/>
              <w:rPr>
                <w:b/>
                <w:highlight w:val="white"/>
              </w:rPr>
            </w:pPr>
            <w:r w:rsidRPr="008F0DA6">
              <w:rPr>
                <w:b/>
                <w:highlight w:val="white"/>
              </w:rPr>
              <w:t>ULS-10</w:t>
            </w:r>
          </w:p>
        </w:tc>
        <w:tc>
          <w:tcPr>
            <w:tcW w:w="4500" w:type="dxa"/>
            <w:tcBorders>
              <w:top w:val="nil"/>
              <w:left w:val="nil"/>
              <w:bottom w:val="nil"/>
              <w:right w:val="nil"/>
            </w:tcBorders>
            <w:shd w:val="clear" w:color="auto" w:fill="auto"/>
            <w:tcMar>
              <w:top w:w="0" w:type="dxa"/>
              <w:left w:w="0" w:type="dxa"/>
              <w:bottom w:w="0" w:type="dxa"/>
              <w:right w:w="0" w:type="dxa"/>
            </w:tcMar>
          </w:tcPr>
          <w:p w14:paraId="67BC4200" w14:textId="77777777" w:rsidR="00D61F9D" w:rsidRPr="008F0DA6" w:rsidRDefault="00D61F9D">
            <w:pPr>
              <w:widowControl w:val="0"/>
              <w:pBdr>
                <w:top w:val="nil"/>
                <w:left w:val="nil"/>
                <w:bottom w:val="nil"/>
                <w:right w:val="nil"/>
                <w:between w:val="nil"/>
              </w:pBdr>
              <w:spacing w:after="0" w:line="240" w:lineRule="auto"/>
              <w:ind w:left="0"/>
              <w:rPr>
                <w:b/>
                <w:highlight w:val="white"/>
              </w:rPr>
            </w:pPr>
          </w:p>
        </w:tc>
      </w:tr>
      <w:tr w:rsidR="00D61F9D" w:rsidRPr="008F0DA6" w14:paraId="67BC4204" w14:textId="77777777">
        <w:tc>
          <w:tcPr>
            <w:tcW w:w="4500" w:type="dxa"/>
            <w:tcBorders>
              <w:top w:val="nil"/>
              <w:left w:val="nil"/>
              <w:bottom w:val="nil"/>
              <w:right w:val="nil"/>
            </w:tcBorders>
            <w:shd w:val="clear" w:color="auto" w:fill="auto"/>
            <w:tcMar>
              <w:top w:w="0" w:type="dxa"/>
              <w:left w:w="0" w:type="dxa"/>
              <w:bottom w:w="0" w:type="dxa"/>
              <w:right w:w="0" w:type="dxa"/>
            </w:tcMar>
          </w:tcPr>
          <w:p w14:paraId="67BC4202" w14:textId="77777777" w:rsidR="00D61F9D" w:rsidRPr="008F0DA6" w:rsidRDefault="008F0DA6">
            <w:pPr>
              <w:widowControl w:val="0"/>
              <w:spacing w:after="0" w:line="240" w:lineRule="auto"/>
              <w:ind w:left="0"/>
              <w:rPr>
                <w:b/>
                <w:highlight w:val="white"/>
              </w:rPr>
            </w:pPr>
            <w:r w:rsidRPr="008F0DA6">
              <w:rPr>
                <w:b/>
                <w:noProof/>
                <w:highlight w:val="white"/>
              </w:rPr>
              <w:drawing>
                <wp:inline distT="114300" distB="114300" distL="114300" distR="114300" wp14:anchorId="67BC42DA" wp14:editId="67BC42DB">
                  <wp:extent cx="2724150" cy="20701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2724150" cy="2070100"/>
                          </a:xfrm>
                          <a:prstGeom prst="rect">
                            <a:avLst/>
                          </a:prstGeom>
                          <a:ln/>
                        </pic:spPr>
                      </pic:pic>
                    </a:graphicData>
                  </a:graphic>
                </wp:inline>
              </w:drawing>
            </w:r>
          </w:p>
        </w:tc>
        <w:tc>
          <w:tcPr>
            <w:tcW w:w="4500" w:type="dxa"/>
            <w:tcBorders>
              <w:top w:val="nil"/>
              <w:left w:val="nil"/>
              <w:bottom w:val="nil"/>
              <w:right w:val="nil"/>
            </w:tcBorders>
            <w:shd w:val="clear" w:color="auto" w:fill="auto"/>
            <w:tcMar>
              <w:top w:w="0" w:type="dxa"/>
              <w:left w:w="0" w:type="dxa"/>
              <w:bottom w:w="0" w:type="dxa"/>
              <w:right w:w="0" w:type="dxa"/>
            </w:tcMar>
          </w:tcPr>
          <w:p w14:paraId="67BC4203" w14:textId="77777777" w:rsidR="00D61F9D" w:rsidRPr="008F0DA6" w:rsidRDefault="00D61F9D">
            <w:pPr>
              <w:widowControl w:val="0"/>
              <w:pBdr>
                <w:top w:val="nil"/>
                <w:left w:val="nil"/>
                <w:bottom w:val="nil"/>
                <w:right w:val="nil"/>
                <w:between w:val="nil"/>
              </w:pBdr>
              <w:spacing w:after="0" w:line="240" w:lineRule="auto"/>
              <w:ind w:left="0"/>
              <w:rPr>
                <w:b/>
                <w:highlight w:val="white"/>
              </w:rPr>
            </w:pPr>
          </w:p>
        </w:tc>
      </w:tr>
    </w:tbl>
    <w:p w14:paraId="67BC4205" w14:textId="77777777" w:rsidR="00D61F9D" w:rsidRPr="008F0DA6" w:rsidRDefault="00D61F9D">
      <w:pPr>
        <w:pStyle w:val="Heading2"/>
        <w:sectPr w:rsidR="00D61F9D" w:rsidRPr="008F0DA6">
          <w:pgSz w:w="11909" w:h="16834"/>
          <w:pgMar w:top="1440" w:right="1440" w:bottom="1440" w:left="1440" w:header="720" w:footer="720" w:gutter="0"/>
          <w:cols w:space="720"/>
        </w:sectPr>
      </w:pPr>
      <w:bookmarkStart w:id="21" w:name="_w4x3xq4luxae" w:colFirst="0" w:colLast="0"/>
      <w:bookmarkEnd w:id="21"/>
    </w:p>
    <w:p w14:paraId="67BC4206" w14:textId="77777777" w:rsidR="00D61F9D" w:rsidRPr="008F0DA6" w:rsidRDefault="008F0DA6">
      <w:pPr>
        <w:pStyle w:val="Heading2"/>
      </w:pPr>
      <w:bookmarkStart w:id="22" w:name="_iiq3gzfasdsr" w:colFirst="0" w:colLast="0"/>
      <w:bookmarkEnd w:id="22"/>
      <w:r w:rsidRPr="008F0DA6">
        <w:t>S3</w:t>
      </w:r>
      <w:r w:rsidRPr="008F0DA6">
        <w:fldChar w:fldCharType="begin"/>
      </w:r>
      <w:r w:rsidRPr="008F0DA6">
        <w:instrText>NUMPAGES</w:instrText>
      </w:r>
      <w:r w:rsidRPr="008F0DA6">
        <w:fldChar w:fldCharType="separate"/>
      </w:r>
      <w:r w:rsidRPr="008F0DA6">
        <w:fldChar w:fldCharType="end"/>
      </w:r>
      <w:r w:rsidRPr="008F0DA6">
        <w:t>. Associations between total scores of various forms of UCLA loneliness scale with mental well-being and psychosocial qualities.</w:t>
      </w:r>
    </w:p>
    <w:tbl>
      <w:tblPr>
        <w:tblStyle w:val="a0"/>
        <w:tblW w:w="13957" w:type="dxa"/>
        <w:tblBorders>
          <w:top w:val="nil"/>
          <w:left w:val="nil"/>
          <w:bottom w:val="nil"/>
          <w:right w:val="nil"/>
          <w:insideH w:val="nil"/>
          <w:insideV w:val="nil"/>
        </w:tblBorders>
        <w:tblLayout w:type="fixed"/>
        <w:tblCellMar>
          <w:top w:w="17" w:type="dxa"/>
          <w:left w:w="17" w:type="dxa"/>
          <w:bottom w:w="17" w:type="dxa"/>
          <w:right w:w="17" w:type="dxa"/>
        </w:tblCellMar>
        <w:tblLook w:val="0600" w:firstRow="0" w:lastRow="0" w:firstColumn="0" w:lastColumn="0" w:noHBand="1" w:noVBand="1"/>
      </w:tblPr>
      <w:tblGrid>
        <w:gridCol w:w="3084"/>
        <w:gridCol w:w="1813"/>
        <w:gridCol w:w="1812"/>
        <w:gridCol w:w="1812"/>
        <w:gridCol w:w="1812"/>
        <w:gridCol w:w="1812"/>
        <w:gridCol w:w="1812"/>
      </w:tblGrid>
      <w:tr w:rsidR="00D61F9D" w:rsidRPr="008F0DA6" w14:paraId="67BC420A" w14:textId="77777777" w:rsidTr="008F0DA6">
        <w:trPr>
          <w:trHeight w:val="20"/>
        </w:trPr>
        <w:tc>
          <w:tcPr>
            <w:tcW w:w="3082" w:type="dxa"/>
            <w:vMerge w:val="restart"/>
            <w:tcBorders>
              <w:top w:val="single" w:sz="8" w:space="0" w:color="000000"/>
            </w:tcBorders>
            <w:tcMar>
              <w:top w:w="28" w:type="dxa"/>
              <w:left w:w="28" w:type="dxa"/>
              <w:bottom w:w="28" w:type="dxa"/>
              <w:right w:w="28" w:type="dxa"/>
            </w:tcMar>
          </w:tcPr>
          <w:p w14:paraId="67BC4207" w14:textId="77777777" w:rsidR="00D61F9D" w:rsidRPr="008F0DA6" w:rsidRDefault="008F0DA6" w:rsidP="008F0DA6">
            <w:pPr>
              <w:widowControl w:val="0"/>
              <w:spacing w:after="0" w:line="240" w:lineRule="auto"/>
              <w:ind w:left="0"/>
              <w:contextualSpacing/>
              <w:rPr>
                <w:sz w:val="16"/>
                <w:szCs w:val="16"/>
              </w:rPr>
            </w:pPr>
            <w:r w:rsidRPr="008F0DA6">
              <w:rPr>
                <w:b/>
                <w:sz w:val="16"/>
                <w:szCs w:val="16"/>
              </w:rPr>
              <w:t>Dependent variables</w:t>
            </w:r>
          </w:p>
        </w:tc>
        <w:tc>
          <w:tcPr>
            <w:tcW w:w="1812" w:type="dxa"/>
            <w:tcBorders>
              <w:top w:val="single" w:sz="8" w:space="0" w:color="000000"/>
              <w:right w:val="nil"/>
            </w:tcBorders>
            <w:tcMar>
              <w:top w:w="28" w:type="dxa"/>
              <w:left w:w="28" w:type="dxa"/>
              <w:bottom w:w="28" w:type="dxa"/>
              <w:right w:w="28" w:type="dxa"/>
            </w:tcMar>
          </w:tcPr>
          <w:p w14:paraId="67BC4208" w14:textId="77777777" w:rsidR="00D61F9D" w:rsidRPr="008F0DA6" w:rsidRDefault="00D61F9D" w:rsidP="008F0DA6">
            <w:pPr>
              <w:widowControl w:val="0"/>
              <w:spacing w:after="0" w:line="240" w:lineRule="auto"/>
              <w:ind w:left="0"/>
              <w:contextualSpacing/>
              <w:rPr>
                <w:b/>
                <w:sz w:val="16"/>
                <w:szCs w:val="16"/>
              </w:rPr>
            </w:pPr>
          </w:p>
        </w:tc>
        <w:tc>
          <w:tcPr>
            <w:tcW w:w="9060" w:type="dxa"/>
            <w:gridSpan w:val="5"/>
            <w:tcBorders>
              <w:top w:val="single" w:sz="4" w:space="0" w:color="auto"/>
              <w:left w:val="nil"/>
              <w:bottom w:val="single" w:sz="4" w:space="0" w:color="auto"/>
              <w:right w:val="nil"/>
            </w:tcBorders>
            <w:tcMar>
              <w:top w:w="28" w:type="dxa"/>
              <w:left w:w="28" w:type="dxa"/>
              <w:bottom w:w="28" w:type="dxa"/>
              <w:right w:w="28" w:type="dxa"/>
            </w:tcMar>
          </w:tcPr>
          <w:p w14:paraId="67BC4209"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Independent variable</w:t>
            </w:r>
          </w:p>
        </w:tc>
      </w:tr>
      <w:tr w:rsidR="00D61F9D" w:rsidRPr="008F0DA6" w14:paraId="67BC4212" w14:textId="77777777" w:rsidTr="008F0DA6">
        <w:trPr>
          <w:trHeight w:val="20"/>
        </w:trPr>
        <w:tc>
          <w:tcPr>
            <w:tcW w:w="3082" w:type="dxa"/>
            <w:vMerge/>
            <w:tcMar>
              <w:top w:w="28" w:type="dxa"/>
              <w:left w:w="28" w:type="dxa"/>
              <w:bottom w:w="28" w:type="dxa"/>
              <w:right w:w="28" w:type="dxa"/>
            </w:tcMar>
          </w:tcPr>
          <w:p w14:paraId="67BC420B" w14:textId="77777777" w:rsidR="00D61F9D" w:rsidRPr="008F0DA6" w:rsidRDefault="00D61F9D" w:rsidP="008F0DA6">
            <w:pPr>
              <w:widowControl w:val="0"/>
              <w:spacing w:after="0" w:line="240" w:lineRule="auto"/>
              <w:ind w:left="0"/>
              <w:contextualSpacing/>
              <w:rPr>
                <w:sz w:val="16"/>
                <w:szCs w:val="16"/>
              </w:rPr>
            </w:pPr>
          </w:p>
        </w:tc>
        <w:tc>
          <w:tcPr>
            <w:tcW w:w="1812" w:type="dxa"/>
            <w:tcMar>
              <w:top w:w="28" w:type="dxa"/>
              <w:left w:w="28" w:type="dxa"/>
              <w:bottom w:w="28" w:type="dxa"/>
              <w:right w:w="28" w:type="dxa"/>
            </w:tcMar>
          </w:tcPr>
          <w:p w14:paraId="67BC420C" w14:textId="77777777" w:rsidR="00D61F9D" w:rsidRPr="008F0DA6" w:rsidRDefault="00D61F9D" w:rsidP="008F0DA6">
            <w:pPr>
              <w:widowControl w:val="0"/>
              <w:spacing w:after="0" w:line="240" w:lineRule="auto"/>
              <w:ind w:left="0"/>
              <w:contextualSpacing/>
              <w:rPr>
                <w:b/>
                <w:sz w:val="16"/>
                <w:szCs w:val="16"/>
              </w:rPr>
            </w:pPr>
          </w:p>
        </w:tc>
        <w:tc>
          <w:tcPr>
            <w:tcW w:w="1812" w:type="dxa"/>
            <w:tcBorders>
              <w:top w:val="single" w:sz="4" w:space="0" w:color="auto"/>
            </w:tcBorders>
            <w:tcMar>
              <w:top w:w="28" w:type="dxa"/>
              <w:left w:w="28" w:type="dxa"/>
              <w:bottom w:w="28" w:type="dxa"/>
              <w:right w:w="28" w:type="dxa"/>
            </w:tcMar>
          </w:tcPr>
          <w:p w14:paraId="67BC420D" w14:textId="77777777" w:rsidR="00D61F9D" w:rsidRPr="008F0DA6" w:rsidRDefault="008F0DA6" w:rsidP="008F0DA6">
            <w:pPr>
              <w:widowControl w:val="0"/>
              <w:spacing w:after="0" w:line="240" w:lineRule="auto"/>
              <w:ind w:left="0"/>
              <w:contextualSpacing/>
              <w:rPr>
                <w:sz w:val="16"/>
                <w:szCs w:val="16"/>
              </w:rPr>
            </w:pPr>
            <w:r w:rsidRPr="008F0DA6">
              <w:rPr>
                <w:b/>
                <w:sz w:val="16"/>
                <w:szCs w:val="16"/>
              </w:rPr>
              <w:t>UCLA-LSV3</w:t>
            </w:r>
          </w:p>
        </w:tc>
        <w:tc>
          <w:tcPr>
            <w:tcW w:w="1812" w:type="dxa"/>
            <w:tcBorders>
              <w:top w:val="single" w:sz="4" w:space="0" w:color="auto"/>
            </w:tcBorders>
            <w:tcMar>
              <w:top w:w="28" w:type="dxa"/>
              <w:left w:w="28" w:type="dxa"/>
              <w:bottom w:w="28" w:type="dxa"/>
              <w:right w:w="28" w:type="dxa"/>
            </w:tcMar>
          </w:tcPr>
          <w:p w14:paraId="67BC420E" w14:textId="77777777" w:rsidR="00D61F9D" w:rsidRPr="008F0DA6" w:rsidRDefault="008F0DA6" w:rsidP="008F0DA6">
            <w:pPr>
              <w:widowControl w:val="0"/>
              <w:spacing w:after="0" w:line="240" w:lineRule="auto"/>
              <w:ind w:left="0"/>
              <w:contextualSpacing/>
              <w:rPr>
                <w:sz w:val="16"/>
                <w:szCs w:val="16"/>
              </w:rPr>
            </w:pPr>
            <w:r w:rsidRPr="008F0DA6">
              <w:rPr>
                <w:b/>
                <w:sz w:val="16"/>
                <w:szCs w:val="16"/>
              </w:rPr>
              <w:t>ULS-3</w:t>
            </w:r>
          </w:p>
        </w:tc>
        <w:tc>
          <w:tcPr>
            <w:tcW w:w="1812" w:type="dxa"/>
            <w:tcBorders>
              <w:top w:val="single" w:sz="4" w:space="0" w:color="auto"/>
            </w:tcBorders>
            <w:tcMar>
              <w:top w:w="28" w:type="dxa"/>
              <w:left w:w="28" w:type="dxa"/>
              <w:bottom w:w="28" w:type="dxa"/>
              <w:right w:w="28" w:type="dxa"/>
            </w:tcMar>
          </w:tcPr>
          <w:p w14:paraId="67BC420F" w14:textId="77777777" w:rsidR="00D61F9D" w:rsidRPr="008F0DA6" w:rsidRDefault="008F0DA6" w:rsidP="008F0DA6">
            <w:pPr>
              <w:widowControl w:val="0"/>
              <w:spacing w:after="0" w:line="240" w:lineRule="auto"/>
              <w:ind w:left="0"/>
              <w:contextualSpacing/>
              <w:rPr>
                <w:sz w:val="16"/>
                <w:szCs w:val="16"/>
              </w:rPr>
            </w:pPr>
            <w:r w:rsidRPr="008F0DA6">
              <w:rPr>
                <w:b/>
                <w:sz w:val="16"/>
                <w:szCs w:val="16"/>
              </w:rPr>
              <w:t>ULS-6</w:t>
            </w:r>
          </w:p>
        </w:tc>
        <w:tc>
          <w:tcPr>
            <w:tcW w:w="1812" w:type="dxa"/>
            <w:tcBorders>
              <w:top w:val="single" w:sz="4" w:space="0" w:color="auto"/>
            </w:tcBorders>
            <w:tcMar>
              <w:top w:w="28" w:type="dxa"/>
              <w:left w:w="28" w:type="dxa"/>
              <w:bottom w:w="28" w:type="dxa"/>
              <w:right w:w="28" w:type="dxa"/>
            </w:tcMar>
          </w:tcPr>
          <w:p w14:paraId="67BC4210" w14:textId="77777777" w:rsidR="00D61F9D" w:rsidRPr="008F0DA6" w:rsidRDefault="008F0DA6" w:rsidP="008F0DA6">
            <w:pPr>
              <w:widowControl w:val="0"/>
              <w:spacing w:after="0" w:line="240" w:lineRule="auto"/>
              <w:ind w:left="0"/>
              <w:contextualSpacing/>
              <w:rPr>
                <w:sz w:val="16"/>
                <w:szCs w:val="16"/>
              </w:rPr>
            </w:pPr>
            <w:r w:rsidRPr="008F0DA6">
              <w:rPr>
                <w:b/>
                <w:sz w:val="16"/>
                <w:szCs w:val="16"/>
              </w:rPr>
              <w:t>ULS-8</w:t>
            </w:r>
          </w:p>
        </w:tc>
        <w:tc>
          <w:tcPr>
            <w:tcW w:w="1812" w:type="dxa"/>
            <w:tcBorders>
              <w:top w:val="single" w:sz="4" w:space="0" w:color="auto"/>
            </w:tcBorders>
            <w:tcMar>
              <w:top w:w="28" w:type="dxa"/>
              <w:left w:w="28" w:type="dxa"/>
              <w:bottom w:w="28" w:type="dxa"/>
              <w:right w:w="28" w:type="dxa"/>
            </w:tcMar>
          </w:tcPr>
          <w:p w14:paraId="67BC4211" w14:textId="77777777" w:rsidR="00D61F9D" w:rsidRPr="008F0DA6" w:rsidRDefault="008F0DA6" w:rsidP="008F0DA6">
            <w:pPr>
              <w:widowControl w:val="0"/>
              <w:spacing w:after="0" w:line="240" w:lineRule="auto"/>
              <w:ind w:left="0"/>
              <w:contextualSpacing/>
              <w:rPr>
                <w:sz w:val="16"/>
                <w:szCs w:val="16"/>
              </w:rPr>
            </w:pPr>
            <w:r w:rsidRPr="008F0DA6">
              <w:rPr>
                <w:b/>
                <w:sz w:val="16"/>
                <w:szCs w:val="16"/>
              </w:rPr>
              <w:t>ULS-10</w:t>
            </w:r>
          </w:p>
        </w:tc>
      </w:tr>
      <w:tr w:rsidR="00D61F9D" w:rsidRPr="008F0DA6" w14:paraId="67BC421A" w14:textId="77777777" w:rsidTr="008F0DA6">
        <w:trPr>
          <w:trHeight w:val="20"/>
        </w:trPr>
        <w:tc>
          <w:tcPr>
            <w:tcW w:w="3082" w:type="dxa"/>
            <w:vMerge/>
            <w:tcBorders>
              <w:bottom w:val="single" w:sz="8" w:space="0" w:color="000000"/>
            </w:tcBorders>
            <w:tcMar>
              <w:top w:w="28" w:type="dxa"/>
              <w:left w:w="28" w:type="dxa"/>
              <w:bottom w:w="28" w:type="dxa"/>
              <w:right w:w="28" w:type="dxa"/>
            </w:tcMar>
          </w:tcPr>
          <w:p w14:paraId="67BC4213" w14:textId="77777777" w:rsidR="00D61F9D" w:rsidRPr="008F0DA6" w:rsidRDefault="00D61F9D" w:rsidP="008F0DA6">
            <w:pPr>
              <w:widowControl w:val="0"/>
              <w:spacing w:after="0" w:line="240" w:lineRule="auto"/>
              <w:ind w:left="0"/>
              <w:contextualSpacing/>
              <w:rPr>
                <w:b/>
                <w:sz w:val="16"/>
                <w:szCs w:val="16"/>
              </w:rPr>
            </w:pPr>
          </w:p>
        </w:tc>
        <w:tc>
          <w:tcPr>
            <w:tcW w:w="1812" w:type="dxa"/>
            <w:tcBorders>
              <w:bottom w:val="single" w:sz="8" w:space="0" w:color="000000"/>
            </w:tcBorders>
            <w:tcMar>
              <w:top w:w="28" w:type="dxa"/>
              <w:left w:w="28" w:type="dxa"/>
              <w:bottom w:w="28" w:type="dxa"/>
              <w:right w:w="28" w:type="dxa"/>
            </w:tcMar>
          </w:tcPr>
          <w:p w14:paraId="67BC4214"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N (%)</w:t>
            </w:r>
          </w:p>
        </w:tc>
        <w:tc>
          <w:tcPr>
            <w:tcW w:w="1812" w:type="dxa"/>
            <w:tcBorders>
              <w:bottom w:val="single" w:sz="4" w:space="0" w:color="auto"/>
            </w:tcBorders>
            <w:tcMar>
              <w:top w:w="28" w:type="dxa"/>
              <w:left w:w="28" w:type="dxa"/>
              <w:bottom w:w="28" w:type="dxa"/>
              <w:right w:w="28" w:type="dxa"/>
            </w:tcMar>
          </w:tcPr>
          <w:p w14:paraId="67BC4215"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Adjusted OR (95%CI)</w:t>
            </w:r>
          </w:p>
        </w:tc>
        <w:tc>
          <w:tcPr>
            <w:tcW w:w="1812" w:type="dxa"/>
            <w:tcBorders>
              <w:bottom w:val="single" w:sz="4" w:space="0" w:color="auto"/>
            </w:tcBorders>
            <w:tcMar>
              <w:top w:w="28" w:type="dxa"/>
              <w:left w:w="28" w:type="dxa"/>
              <w:bottom w:w="28" w:type="dxa"/>
              <w:right w:w="28" w:type="dxa"/>
            </w:tcMar>
          </w:tcPr>
          <w:p w14:paraId="67BC4216"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Adjusted OR (95%CI)</w:t>
            </w:r>
          </w:p>
        </w:tc>
        <w:tc>
          <w:tcPr>
            <w:tcW w:w="1812" w:type="dxa"/>
            <w:tcBorders>
              <w:bottom w:val="single" w:sz="4" w:space="0" w:color="auto"/>
            </w:tcBorders>
            <w:tcMar>
              <w:top w:w="28" w:type="dxa"/>
              <w:left w:w="28" w:type="dxa"/>
              <w:bottom w:w="28" w:type="dxa"/>
              <w:right w:w="28" w:type="dxa"/>
            </w:tcMar>
          </w:tcPr>
          <w:p w14:paraId="67BC4217"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Adjusted OR (95%CI)</w:t>
            </w:r>
          </w:p>
        </w:tc>
        <w:tc>
          <w:tcPr>
            <w:tcW w:w="1812" w:type="dxa"/>
            <w:tcBorders>
              <w:bottom w:val="single" w:sz="4" w:space="0" w:color="auto"/>
            </w:tcBorders>
            <w:tcMar>
              <w:top w:w="28" w:type="dxa"/>
              <w:left w:w="28" w:type="dxa"/>
              <w:bottom w:w="28" w:type="dxa"/>
              <w:right w:w="28" w:type="dxa"/>
            </w:tcMar>
          </w:tcPr>
          <w:p w14:paraId="67BC4218"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Adjusted OR (95%CI)</w:t>
            </w:r>
          </w:p>
        </w:tc>
        <w:tc>
          <w:tcPr>
            <w:tcW w:w="1812" w:type="dxa"/>
            <w:tcBorders>
              <w:bottom w:val="single" w:sz="4" w:space="0" w:color="auto"/>
            </w:tcBorders>
            <w:tcMar>
              <w:top w:w="28" w:type="dxa"/>
              <w:left w:w="28" w:type="dxa"/>
              <w:bottom w:w="28" w:type="dxa"/>
              <w:right w:w="28" w:type="dxa"/>
            </w:tcMar>
          </w:tcPr>
          <w:p w14:paraId="67BC4219"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Adjusted OR (95%CI)</w:t>
            </w:r>
          </w:p>
        </w:tc>
      </w:tr>
      <w:tr w:rsidR="00D61F9D" w:rsidRPr="008F0DA6" w14:paraId="67BC421E" w14:textId="77777777" w:rsidTr="008F0DA6">
        <w:trPr>
          <w:trHeight w:val="20"/>
        </w:trPr>
        <w:tc>
          <w:tcPr>
            <w:tcW w:w="3082" w:type="dxa"/>
            <w:tcBorders>
              <w:top w:val="single" w:sz="8" w:space="0" w:color="000000"/>
            </w:tcBorders>
            <w:tcMar>
              <w:top w:w="28" w:type="dxa"/>
              <w:left w:w="28" w:type="dxa"/>
              <w:bottom w:w="28" w:type="dxa"/>
              <w:right w:w="28" w:type="dxa"/>
            </w:tcMar>
          </w:tcPr>
          <w:p w14:paraId="67BC421B" w14:textId="77777777" w:rsidR="00D61F9D" w:rsidRPr="008F0DA6" w:rsidRDefault="008F0DA6" w:rsidP="008F0DA6">
            <w:pPr>
              <w:widowControl w:val="0"/>
              <w:spacing w:after="0" w:line="240" w:lineRule="auto"/>
              <w:ind w:left="0"/>
              <w:contextualSpacing/>
              <w:rPr>
                <w:sz w:val="16"/>
                <w:szCs w:val="16"/>
              </w:rPr>
            </w:pPr>
            <w:r w:rsidRPr="008F0DA6">
              <w:rPr>
                <w:b/>
                <w:sz w:val="16"/>
                <w:szCs w:val="16"/>
              </w:rPr>
              <w:t>Mental Well-being</w:t>
            </w:r>
          </w:p>
        </w:tc>
        <w:tc>
          <w:tcPr>
            <w:tcW w:w="1812" w:type="dxa"/>
            <w:tcBorders>
              <w:top w:val="single" w:sz="8" w:space="0" w:color="000000"/>
              <w:right w:val="nil"/>
            </w:tcBorders>
            <w:tcMar>
              <w:top w:w="28" w:type="dxa"/>
              <w:left w:w="28" w:type="dxa"/>
              <w:bottom w:w="28" w:type="dxa"/>
              <w:right w:w="28" w:type="dxa"/>
            </w:tcMar>
          </w:tcPr>
          <w:p w14:paraId="67BC421C" w14:textId="77777777" w:rsidR="00D61F9D" w:rsidRPr="008F0DA6" w:rsidRDefault="00D61F9D" w:rsidP="008F0DA6">
            <w:pPr>
              <w:widowControl w:val="0"/>
              <w:spacing w:after="0" w:line="240" w:lineRule="auto"/>
              <w:ind w:left="0"/>
              <w:contextualSpacing/>
              <w:jc w:val="center"/>
              <w:rPr>
                <w:b/>
                <w:sz w:val="16"/>
                <w:szCs w:val="16"/>
              </w:rPr>
            </w:pPr>
          </w:p>
        </w:tc>
        <w:tc>
          <w:tcPr>
            <w:tcW w:w="9060" w:type="dxa"/>
            <w:gridSpan w:val="5"/>
            <w:tcBorders>
              <w:top w:val="single" w:sz="4" w:space="0" w:color="auto"/>
              <w:left w:val="nil"/>
              <w:bottom w:val="nil"/>
              <w:right w:val="nil"/>
            </w:tcBorders>
            <w:tcMar>
              <w:top w:w="28" w:type="dxa"/>
              <w:left w:w="28" w:type="dxa"/>
              <w:bottom w:w="28" w:type="dxa"/>
              <w:right w:w="28" w:type="dxa"/>
            </w:tcMar>
          </w:tcPr>
          <w:p w14:paraId="67BC421D" w14:textId="77777777" w:rsidR="00D61F9D" w:rsidRPr="008F0DA6" w:rsidRDefault="00D61F9D" w:rsidP="008F0DA6">
            <w:pPr>
              <w:widowControl w:val="0"/>
              <w:spacing w:after="0" w:line="240" w:lineRule="auto"/>
              <w:ind w:left="0"/>
              <w:contextualSpacing/>
              <w:jc w:val="center"/>
              <w:rPr>
                <w:b/>
                <w:sz w:val="16"/>
                <w:szCs w:val="16"/>
              </w:rPr>
            </w:pPr>
          </w:p>
        </w:tc>
      </w:tr>
      <w:tr w:rsidR="00D61F9D" w:rsidRPr="008F0DA6" w14:paraId="67BC4226" w14:textId="77777777" w:rsidTr="008F0DA6">
        <w:trPr>
          <w:trHeight w:val="20"/>
        </w:trPr>
        <w:tc>
          <w:tcPr>
            <w:tcW w:w="3082" w:type="dxa"/>
            <w:tcMar>
              <w:top w:w="28" w:type="dxa"/>
              <w:left w:w="28" w:type="dxa"/>
              <w:bottom w:w="28" w:type="dxa"/>
              <w:right w:w="28" w:type="dxa"/>
            </w:tcMar>
          </w:tcPr>
          <w:p w14:paraId="67BC421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Probable depression</w:t>
            </w:r>
          </w:p>
        </w:tc>
        <w:tc>
          <w:tcPr>
            <w:tcW w:w="1812" w:type="dxa"/>
            <w:tcBorders>
              <w:top w:val="nil"/>
              <w:left w:val="nil"/>
              <w:bottom w:val="nil"/>
              <w:right w:val="nil"/>
            </w:tcBorders>
            <w:tcMar>
              <w:top w:w="20" w:type="dxa"/>
              <w:left w:w="20" w:type="dxa"/>
              <w:bottom w:w="100" w:type="dxa"/>
              <w:right w:w="20" w:type="dxa"/>
            </w:tcMar>
          </w:tcPr>
          <w:p w14:paraId="67BC422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6339 (24.2)</w:t>
            </w:r>
          </w:p>
        </w:tc>
        <w:tc>
          <w:tcPr>
            <w:tcW w:w="1812" w:type="dxa"/>
            <w:tcBorders>
              <w:top w:val="nil"/>
              <w:left w:val="nil"/>
              <w:bottom w:val="nil"/>
              <w:right w:val="nil"/>
            </w:tcBorders>
            <w:tcMar>
              <w:top w:w="20" w:type="dxa"/>
              <w:left w:w="20" w:type="dxa"/>
              <w:bottom w:w="100" w:type="dxa"/>
              <w:right w:w="20" w:type="dxa"/>
            </w:tcMar>
          </w:tcPr>
          <w:p w14:paraId="67BC422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2.76 (2.46, 3.10)***</w:t>
            </w:r>
          </w:p>
        </w:tc>
        <w:tc>
          <w:tcPr>
            <w:tcW w:w="1812" w:type="dxa"/>
            <w:tcBorders>
              <w:top w:val="nil"/>
              <w:left w:val="nil"/>
              <w:bottom w:val="nil"/>
              <w:right w:val="nil"/>
            </w:tcBorders>
            <w:tcMar>
              <w:top w:w="20" w:type="dxa"/>
              <w:left w:w="20" w:type="dxa"/>
              <w:bottom w:w="100" w:type="dxa"/>
              <w:right w:w="20" w:type="dxa"/>
            </w:tcMar>
          </w:tcPr>
          <w:p w14:paraId="67BC422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2.32 (2.09, 2.58)***</w:t>
            </w:r>
          </w:p>
        </w:tc>
        <w:tc>
          <w:tcPr>
            <w:tcW w:w="1812" w:type="dxa"/>
            <w:tcBorders>
              <w:top w:val="nil"/>
              <w:left w:val="nil"/>
              <w:bottom w:val="nil"/>
              <w:right w:val="nil"/>
            </w:tcBorders>
            <w:tcMar>
              <w:top w:w="20" w:type="dxa"/>
              <w:left w:w="20" w:type="dxa"/>
              <w:bottom w:w="100" w:type="dxa"/>
              <w:right w:w="20" w:type="dxa"/>
            </w:tcMar>
          </w:tcPr>
          <w:p w14:paraId="67BC422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2.63 (2.35, 2.95)***</w:t>
            </w:r>
          </w:p>
        </w:tc>
        <w:tc>
          <w:tcPr>
            <w:tcW w:w="1812" w:type="dxa"/>
            <w:tcBorders>
              <w:top w:val="nil"/>
              <w:left w:val="nil"/>
              <w:bottom w:val="nil"/>
              <w:right w:val="nil"/>
            </w:tcBorders>
            <w:tcMar>
              <w:top w:w="20" w:type="dxa"/>
              <w:left w:w="20" w:type="dxa"/>
              <w:bottom w:w="100" w:type="dxa"/>
              <w:right w:w="20" w:type="dxa"/>
            </w:tcMar>
          </w:tcPr>
          <w:p w14:paraId="67BC422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2.62 (2.34, 2.93)***</w:t>
            </w:r>
          </w:p>
        </w:tc>
        <w:tc>
          <w:tcPr>
            <w:tcW w:w="1812" w:type="dxa"/>
            <w:tcBorders>
              <w:top w:val="nil"/>
              <w:left w:val="nil"/>
              <w:bottom w:val="nil"/>
              <w:right w:val="nil"/>
            </w:tcBorders>
            <w:tcMar>
              <w:top w:w="20" w:type="dxa"/>
              <w:left w:w="20" w:type="dxa"/>
              <w:bottom w:w="100" w:type="dxa"/>
              <w:right w:w="20" w:type="dxa"/>
            </w:tcMar>
          </w:tcPr>
          <w:p w14:paraId="67BC422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2.55 (2.28, 2.86)***</w:t>
            </w:r>
          </w:p>
        </w:tc>
      </w:tr>
      <w:tr w:rsidR="00D61F9D" w:rsidRPr="008F0DA6" w14:paraId="67BC422E" w14:textId="77777777" w:rsidTr="008F0DA6">
        <w:trPr>
          <w:trHeight w:val="20"/>
        </w:trPr>
        <w:tc>
          <w:tcPr>
            <w:tcW w:w="3082" w:type="dxa"/>
            <w:tcMar>
              <w:top w:w="28" w:type="dxa"/>
              <w:left w:w="28" w:type="dxa"/>
              <w:bottom w:w="28" w:type="dxa"/>
              <w:right w:w="28" w:type="dxa"/>
            </w:tcMar>
          </w:tcPr>
          <w:p w14:paraId="67BC422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 xml:space="preserve">Probable anxiety </w:t>
            </w:r>
          </w:p>
        </w:tc>
        <w:tc>
          <w:tcPr>
            <w:tcW w:w="1812" w:type="dxa"/>
            <w:tcBorders>
              <w:top w:val="nil"/>
              <w:left w:val="nil"/>
              <w:bottom w:val="nil"/>
              <w:right w:val="nil"/>
            </w:tcBorders>
            <w:tcMar>
              <w:top w:w="20" w:type="dxa"/>
              <w:left w:w="20" w:type="dxa"/>
              <w:bottom w:w="100" w:type="dxa"/>
              <w:right w:w="20" w:type="dxa"/>
            </w:tcMar>
          </w:tcPr>
          <w:p w14:paraId="67BC422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752 (28.5)</w:t>
            </w:r>
          </w:p>
        </w:tc>
        <w:tc>
          <w:tcPr>
            <w:tcW w:w="1812" w:type="dxa"/>
            <w:tcBorders>
              <w:top w:val="nil"/>
              <w:left w:val="nil"/>
              <w:bottom w:val="nil"/>
              <w:right w:val="nil"/>
            </w:tcBorders>
            <w:tcMar>
              <w:top w:w="20" w:type="dxa"/>
              <w:left w:w="20" w:type="dxa"/>
              <w:bottom w:w="100" w:type="dxa"/>
              <w:right w:w="20" w:type="dxa"/>
            </w:tcMar>
          </w:tcPr>
          <w:p w14:paraId="67BC422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2.37 (2.14, 2.64)***</w:t>
            </w:r>
          </w:p>
        </w:tc>
        <w:tc>
          <w:tcPr>
            <w:tcW w:w="1812" w:type="dxa"/>
            <w:tcBorders>
              <w:top w:val="nil"/>
              <w:left w:val="nil"/>
              <w:bottom w:val="nil"/>
              <w:right w:val="nil"/>
            </w:tcBorders>
            <w:tcMar>
              <w:top w:w="20" w:type="dxa"/>
              <w:left w:w="20" w:type="dxa"/>
              <w:bottom w:w="100" w:type="dxa"/>
              <w:right w:w="20" w:type="dxa"/>
            </w:tcMar>
          </w:tcPr>
          <w:p w14:paraId="67BC422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2.28 (2.06, 2.53)***</w:t>
            </w:r>
          </w:p>
        </w:tc>
        <w:tc>
          <w:tcPr>
            <w:tcW w:w="1812" w:type="dxa"/>
            <w:tcBorders>
              <w:top w:val="nil"/>
              <w:left w:val="nil"/>
              <w:bottom w:val="nil"/>
              <w:right w:val="nil"/>
            </w:tcBorders>
            <w:tcMar>
              <w:top w:w="20" w:type="dxa"/>
              <w:left w:w="20" w:type="dxa"/>
              <w:bottom w:w="100" w:type="dxa"/>
              <w:right w:w="20" w:type="dxa"/>
            </w:tcMar>
          </w:tcPr>
          <w:p w14:paraId="67BC422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2.49 (2.24, 2.77)***</w:t>
            </w:r>
          </w:p>
        </w:tc>
        <w:tc>
          <w:tcPr>
            <w:tcW w:w="1812" w:type="dxa"/>
            <w:tcBorders>
              <w:top w:val="nil"/>
              <w:left w:val="nil"/>
              <w:bottom w:val="nil"/>
              <w:right w:val="nil"/>
            </w:tcBorders>
            <w:tcMar>
              <w:top w:w="20" w:type="dxa"/>
              <w:left w:w="20" w:type="dxa"/>
              <w:bottom w:w="100" w:type="dxa"/>
              <w:right w:w="20" w:type="dxa"/>
            </w:tcMar>
          </w:tcPr>
          <w:p w14:paraId="67BC422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2.43 (2.19, 2.70)***</w:t>
            </w:r>
          </w:p>
        </w:tc>
        <w:tc>
          <w:tcPr>
            <w:tcW w:w="1812" w:type="dxa"/>
            <w:tcBorders>
              <w:top w:val="nil"/>
              <w:left w:val="nil"/>
              <w:bottom w:val="nil"/>
              <w:right w:val="nil"/>
            </w:tcBorders>
            <w:tcMar>
              <w:top w:w="20" w:type="dxa"/>
              <w:left w:w="20" w:type="dxa"/>
              <w:bottom w:w="100" w:type="dxa"/>
              <w:right w:w="20" w:type="dxa"/>
            </w:tcMar>
          </w:tcPr>
          <w:p w14:paraId="67BC422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2.22 (2.00, 2.46)***</w:t>
            </w:r>
          </w:p>
        </w:tc>
      </w:tr>
      <w:tr w:rsidR="00D61F9D" w:rsidRPr="008F0DA6" w14:paraId="67BC4236" w14:textId="77777777" w:rsidTr="008F0DA6">
        <w:trPr>
          <w:trHeight w:val="20"/>
        </w:trPr>
        <w:tc>
          <w:tcPr>
            <w:tcW w:w="3082" w:type="dxa"/>
            <w:tcMar>
              <w:top w:w="28" w:type="dxa"/>
              <w:left w:w="28" w:type="dxa"/>
              <w:bottom w:w="28" w:type="dxa"/>
              <w:right w:w="28" w:type="dxa"/>
            </w:tcMar>
          </w:tcPr>
          <w:p w14:paraId="67BC422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Probable social anxiety disorder</w:t>
            </w:r>
          </w:p>
        </w:tc>
        <w:tc>
          <w:tcPr>
            <w:tcW w:w="1812" w:type="dxa"/>
            <w:tcBorders>
              <w:top w:val="nil"/>
              <w:left w:val="nil"/>
              <w:bottom w:val="nil"/>
              <w:right w:val="nil"/>
            </w:tcBorders>
            <w:tcMar>
              <w:top w:w="20" w:type="dxa"/>
              <w:left w:w="20" w:type="dxa"/>
              <w:bottom w:w="100" w:type="dxa"/>
              <w:right w:w="20" w:type="dxa"/>
            </w:tcMar>
          </w:tcPr>
          <w:p w14:paraId="67BC423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659 (24.9)</w:t>
            </w:r>
          </w:p>
        </w:tc>
        <w:tc>
          <w:tcPr>
            <w:tcW w:w="1812" w:type="dxa"/>
            <w:tcBorders>
              <w:top w:val="nil"/>
              <w:left w:val="nil"/>
              <w:bottom w:val="nil"/>
              <w:right w:val="nil"/>
            </w:tcBorders>
            <w:tcMar>
              <w:top w:w="20" w:type="dxa"/>
              <w:left w:w="20" w:type="dxa"/>
              <w:bottom w:w="100" w:type="dxa"/>
              <w:right w:w="20" w:type="dxa"/>
            </w:tcMar>
          </w:tcPr>
          <w:p w14:paraId="67BC423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2.55 (2.28, 2.86)***</w:t>
            </w:r>
          </w:p>
        </w:tc>
        <w:tc>
          <w:tcPr>
            <w:tcW w:w="1812" w:type="dxa"/>
            <w:tcBorders>
              <w:top w:val="nil"/>
              <w:left w:val="nil"/>
              <w:bottom w:val="nil"/>
              <w:right w:val="nil"/>
            </w:tcBorders>
            <w:tcMar>
              <w:top w:w="20" w:type="dxa"/>
              <w:left w:w="20" w:type="dxa"/>
              <w:bottom w:w="100" w:type="dxa"/>
              <w:right w:w="20" w:type="dxa"/>
            </w:tcMar>
          </w:tcPr>
          <w:p w14:paraId="67BC423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2.21 (1.99, 2.46)***</w:t>
            </w:r>
          </w:p>
        </w:tc>
        <w:tc>
          <w:tcPr>
            <w:tcW w:w="1812" w:type="dxa"/>
            <w:tcBorders>
              <w:top w:val="nil"/>
              <w:left w:val="nil"/>
              <w:bottom w:val="nil"/>
              <w:right w:val="nil"/>
            </w:tcBorders>
            <w:tcMar>
              <w:top w:w="20" w:type="dxa"/>
              <w:left w:w="20" w:type="dxa"/>
              <w:bottom w:w="100" w:type="dxa"/>
              <w:right w:w="20" w:type="dxa"/>
            </w:tcMar>
          </w:tcPr>
          <w:p w14:paraId="67BC423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2.22 (1.99, 2.46)***</w:t>
            </w:r>
          </w:p>
        </w:tc>
        <w:tc>
          <w:tcPr>
            <w:tcW w:w="1812" w:type="dxa"/>
            <w:tcBorders>
              <w:top w:val="nil"/>
              <w:left w:val="nil"/>
              <w:bottom w:val="nil"/>
              <w:right w:val="nil"/>
            </w:tcBorders>
            <w:tcMar>
              <w:top w:w="20" w:type="dxa"/>
              <w:left w:w="20" w:type="dxa"/>
              <w:bottom w:w="100" w:type="dxa"/>
              <w:right w:w="20" w:type="dxa"/>
            </w:tcMar>
          </w:tcPr>
          <w:p w14:paraId="67BC423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2.75 (2.45, 3.08)***</w:t>
            </w:r>
          </w:p>
        </w:tc>
        <w:tc>
          <w:tcPr>
            <w:tcW w:w="1812" w:type="dxa"/>
            <w:tcBorders>
              <w:top w:val="nil"/>
              <w:left w:val="nil"/>
              <w:bottom w:val="nil"/>
              <w:right w:val="nil"/>
            </w:tcBorders>
            <w:tcMar>
              <w:top w:w="20" w:type="dxa"/>
              <w:left w:w="20" w:type="dxa"/>
              <w:bottom w:w="100" w:type="dxa"/>
              <w:right w:w="20" w:type="dxa"/>
            </w:tcMar>
          </w:tcPr>
          <w:p w14:paraId="67BC423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2.29 (2.06, 2.56)***</w:t>
            </w:r>
          </w:p>
        </w:tc>
      </w:tr>
      <w:tr w:rsidR="00D61F9D" w:rsidRPr="008F0DA6" w14:paraId="67BC423E" w14:textId="77777777" w:rsidTr="008F0DA6">
        <w:trPr>
          <w:trHeight w:val="20"/>
        </w:trPr>
        <w:tc>
          <w:tcPr>
            <w:tcW w:w="3082" w:type="dxa"/>
            <w:tcMar>
              <w:top w:w="28" w:type="dxa"/>
              <w:left w:w="28" w:type="dxa"/>
              <w:bottom w:w="28" w:type="dxa"/>
              <w:right w:w="28" w:type="dxa"/>
            </w:tcMar>
          </w:tcPr>
          <w:p w14:paraId="67BC423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Probable mania</w:t>
            </w:r>
          </w:p>
        </w:tc>
        <w:tc>
          <w:tcPr>
            <w:tcW w:w="1812" w:type="dxa"/>
            <w:tcBorders>
              <w:top w:val="nil"/>
              <w:left w:val="nil"/>
              <w:bottom w:val="nil"/>
              <w:right w:val="nil"/>
            </w:tcBorders>
            <w:tcMar>
              <w:top w:w="20" w:type="dxa"/>
              <w:left w:w="20" w:type="dxa"/>
              <w:bottom w:w="100" w:type="dxa"/>
              <w:right w:w="20" w:type="dxa"/>
            </w:tcMar>
          </w:tcPr>
          <w:p w14:paraId="67BC423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28 (1.1)</w:t>
            </w:r>
          </w:p>
        </w:tc>
        <w:tc>
          <w:tcPr>
            <w:tcW w:w="1812" w:type="dxa"/>
            <w:tcBorders>
              <w:top w:val="nil"/>
              <w:left w:val="nil"/>
              <w:bottom w:val="nil"/>
              <w:right w:val="nil"/>
            </w:tcBorders>
            <w:tcMar>
              <w:top w:w="20" w:type="dxa"/>
              <w:left w:w="20" w:type="dxa"/>
              <w:bottom w:w="100" w:type="dxa"/>
              <w:right w:w="20" w:type="dxa"/>
            </w:tcMar>
          </w:tcPr>
          <w:p w14:paraId="67BC423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1.10 (0.76, 1.60)</w:t>
            </w:r>
          </w:p>
        </w:tc>
        <w:tc>
          <w:tcPr>
            <w:tcW w:w="1812" w:type="dxa"/>
            <w:tcBorders>
              <w:top w:val="nil"/>
              <w:left w:val="nil"/>
              <w:bottom w:val="nil"/>
              <w:right w:val="nil"/>
            </w:tcBorders>
            <w:tcMar>
              <w:top w:w="20" w:type="dxa"/>
              <w:left w:w="20" w:type="dxa"/>
              <w:bottom w:w="100" w:type="dxa"/>
              <w:right w:w="20" w:type="dxa"/>
            </w:tcMar>
          </w:tcPr>
          <w:p w14:paraId="67BC423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1.18 (0.81, 1.72)</w:t>
            </w:r>
          </w:p>
        </w:tc>
        <w:tc>
          <w:tcPr>
            <w:tcW w:w="1812" w:type="dxa"/>
            <w:tcBorders>
              <w:top w:val="nil"/>
              <w:left w:val="nil"/>
              <w:bottom w:val="nil"/>
              <w:right w:val="nil"/>
            </w:tcBorders>
            <w:tcMar>
              <w:top w:w="20" w:type="dxa"/>
              <w:left w:w="20" w:type="dxa"/>
              <w:bottom w:w="100" w:type="dxa"/>
              <w:right w:w="20" w:type="dxa"/>
            </w:tcMar>
          </w:tcPr>
          <w:p w14:paraId="67BC423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1.34 (0.92, 1.96)</w:t>
            </w:r>
          </w:p>
        </w:tc>
        <w:tc>
          <w:tcPr>
            <w:tcW w:w="1812" w:type="dxa"/>
            <w:tcBorders>
              <w:top w:val="nil"/>
              <w:left w:val="nil"/>
              <w:bottom w:val="nil"/>
              <w:right w:val="nil"/>
            </w:tcBorders>
            <w:tcMar>
              <w:top w:w="20" w:type="dxa"/>
              <w:left w:w="20" w:type="dxa"/>
              <w:bottom w:w="100" w:type="dxa"/>
              <w:right w:w="20" w:type="dxa"/>
            </w:tcMar>
          </w:tcPr>
          <w:p w14:paraId="67BC423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1.21 (0.83, 1.76)</w:t>
            </w:r>
          </w:p>
        </w:tc>
        <w:tc>
          <w:tcPr>
            <w:tcW w:w="1812" w:type="dxa"/>
            <w:tcBorders>
              <w:top w:val="nil"/>
              <w:left w:val="nil"/>
              <w:bottom w:val="nil"/>
              <w:right w:val="nil"/>
            </w:tcBorders>
            <w:tcMar>
              <w:top w:w="20" w:type="dxa"/>
              <w:left w:w="20" w:type="dxa"/>
              <w:bottom w:w="100" w:type="dxa"/>
              <w:right w:w="20" w:type="dxa"/>
            </w:tcMar>
          </w:tcPr>
          <w:p w14:paraId="67BC423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1.01 (0.70, 1.47)</w:t>
            </w:r>
          </w:p>
        </w:tc>
      </w:tr>
      <w:tr w:rsidR="00D61F9D" w:rsidRPr="008F0DA6" w14:paraId="67BC4246" w14:textId="77777777" w:rsidTr="008F0DA6">
        <w:trPr>
          <w:trHeight w:val="20"/>
        </w:trPr>
        <w:tc>
          <w:tcPr>
            <w:tcW w:w="3082" w:type="dxa"/>
            <w:tcMar>
              <w:top w:w="28" w:type="dxa"/>
              <w:left w:w="28" w:type="dxa"/>
              <w:bottom w:w="28" w:type="dxa"/>
              <w:right w:w="28" w:type="dxa"/>
            </w:tcMar>
          </w:tcPr>
          <w:p w14:paraId="67BC423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 xml:space="preserve">Severe distress </w:t>
            </w:r>
          </w:p>
        </w:tc>
        <w:tc>
          <w:tcPr>
            <w:tcW w:w="1812" w:type="dxa"/>
            <w:tcBorders>
              <w:top w:val="nil"/>
              <w:left w:val="nil"/>
              <w:bottom w:val="nil"/>
              <w:right w:val="nil"/>
            </w:tcBorders>
            <w:tcMar>
              <w:top w:w="20" w:type="dxa"/>
              <w:left w:w="20" w:type="dxa"/>
              <w:bottom w:w="100" w:type="dxa"/>
              <w:right w:w="20" w:type="dxa"/>
            </w:tcMar>
          </w:tcPr>
          <w:p w14:paraId="67BC424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415 (15.6)</w:t>
            </w:r>
          </w:p>
        </w:tc>
        <w:tc>
          <w:tcPr>
            <w:tcW w:w="1812" w:type="dxa"/>
            <w:tcBorders>
              <w:top w:val="nil"/>
              <w:left w:val="nil"/>
              <w:bottom w:val="nil"/>
              <w:right w:val="nil"/>
            </w:tcBorders>
            <w:tcMar>
              <w:top w:w="20" w:type="dxa"/>
              <w:left w:w="20" w:type="dxa"/>
              <w:bottom w:w="100" w:type="dxa"/>
              <w:right w:w="20" w:type="dxa"/>
            </w:tcMar>
          </w:tcPr>
          <w:p w14:paraId="67BC424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3.47 (3.00, 4.01)***</w:t>
            </w:r>
          </w:p>
        </w:tc>
        <w:tc>
          <w:tcPr>
            <w:tcW w:w="1812" w:type="dxa"/>
            <w:tcBorders>
              <w:top w:val="nil"/>
              <w:left w:val="nil"/>
              <w:bottom w:val="nil"/>
              <w:right w:val="nil"/>
            </w:tcBorders>
            <w:tcMar>
              <w:top w:w="20" w:type="dxa"/>
              <w:left w:w="20" w:type="dxa"/>
              <w:bottom w:w="100" w:type="dxa"/>
              <w:right w:w="20" w:type="dxa"/>
            </w:tcMar>
          </w:tcPr>
          <w:p w14:paraId="67BC424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2.90 (2.54, 3.30)***</w:t>
            </w:r>
          </w:p>
        </w:tc>
        <w:tc>
          <w:tcPr>
            <w:tcW w:w="1812" w:type="dxa"/>
            <w:tcBorders>
              <w:top w:val="nil"/>
              <w:left w:val="nil"/>
              <w:bottom w:val="nil"/>
              <w:right w:val="nil"/>
            </w:tcBorders>
            <w:tcMar>
              <w:top w:w="20" w:type="dxa"/>
              <w:left w:w="20" w:type="dxa"/>
              <w:bottom w:w="100" w:type="dxa"/>
              <w:right w:w="20" w:type="dxa"/>
            </w:tcMar>
          </w:tcPr>
          <w:p w14:paraId="67BC424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3.44 (2.98, 3.96)***</w:t>
            </w:r>
          </w:p>
        </w:tc>
        <w:tc>
          <w:tcPr>
            <w:tcW w:w="1812" w:type="dxa"/>
            <w:tcBorders>
              <w:top w:val="nil"/>
              <w:left w:val="nil"/>
              <w:bottom w:val="nil"/>
              <w:right w:val="nil"/>
            </w:tcBorders>
            <w:tcMar>
              <w:top w:w="20" w:type="dxa"/>
              <w:left w:w="20" w:type="dxa"/>
              <w:bottom w:w="100" w:type="dxa"/>
              <w:right w:w="20" w:type="dxa"/>
            </w:tcMar>
          </w:tcPr>
          <w:p w14:paraId="67BC424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3.39 (2.94, 3.91)***</w:t>
            </w:r>
          </w:p>
        </w:tc>
        <w:tc>
          <w:tcPr>
            <w:tcW w:w="1812" w:type="dxa"/>
            <w:tcBorders>
              <w:top w:val="nil"/>
              <w:left w:val="nil"/>
              <w:bottom w:val="nil"/>
              <w:right w:val="nil"/>
            </w:tcBorders>
            <w:tcMar>
              <w:top w:w="20" w:type="dxa"/>
              <w:left w:w="20" w:type="dxa"/>
              <w:bottom w:w="100" w:type="dxa"/>
              <w:right w:w="20" w:type="dxa"/>
            </w:tcMar>
          </w:tcPr>
          <w:p w14:paraId="67BC424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3.09 (2.69, 3.55)***</w:t>
            </w:r>
          </w:p>
        </w:tc>
      </w:tr>
      <w:tr w:rsidR="00D61F9D" w:rsidRPr="008F0DA6" w14:paraId="67BC424E" w14:textId="77777777" w:rsidTr="008F0DA6">
        <w:trPr>
          <w:trHeight w:val="20"/>
        </w:trPr>
        <w:tc>
          <w:tcPr>
            <w:tcW w:w="3082" w:type="dxa"/>
            <w:tcMar>
              <w:top w:w="28" w:type="dxa"/>
              <w:left w:w="28" w:type="dxa"/>
              <w:bottom w:w="28" w:type="dxa"/>
              <w:right w:w="28" w:type="dxa"/>
            </w:tcMar>
          </w:tcPr>
          <w:p w14:paraId="67BC424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Probable clinical high risk for psychosis</w:t>
            </w:r>
          </w:p>
        </w:tc>
        <w:tc>
          <w:tcPr>
            <w:tcW w:w="1812" w:type="dxa"/>
            <w:tcBorders>
              <w:top w:val="nil"/>
              <w:left w:val="nil"/>
              <w:bottom w:val="nil"/>
              <w:right w:val="nil"/>
            </w:tcBorders>
            <w:tcMar>
              <w:top w:w="20" w:type="dxa"/>
              <w:left w:w="20" w:type="dxa"/>
              <w:bottom w:w="100" w:type="dxa"/>
              <w:right w:w="20" w:type="dxa"/>
            </w:tcMar>
          </w:tcPr>
          <w:p w14:paraId="67BC424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355 (13.4)</w:t>
            </w:r>
          </w:p>
        </w:tc>
        <w:tc>
          <w:tcPr>
            <w:tcW w:w="1812" w:type="dxa"/>
            <w:tcBorders>
              <w:top w:val="nil"/>
              <w:left w:val="nil"/>
              <w:bottom w:val="nil"/>
              <w:right w:val="nil"/>
            </w:tcBorders>
            <w:tcMar>
              <w:top w:w="20" w:type="dxa"/>
              <w:left w:w="20" w:type="dxa"/>
              <w:bottom w:w="100" w:type="dxa"/>
              <w:right w:w="20" w:type="dxa"/>
            </w:tcMar>
          </w:tcPr>
          <w:p w14:paraId="67BC424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2.10 (1.85, 2.39)***</w:t>
            </w:r>
          </w:p>
        </w:tc>
        <w:tc>
          <w:tcPr>
            <w:tcW w:w="1812" w:type="dxa"/>
            <w:tcBorders>
              <w:top w:val="nil"/>
              <w:left w:val="nil"/>
              <w:bottom w:val="nil"/>
              <w:right w:val="nil"/>
            </w:tcBorders>
            <w:tcMar>
              <w:top w:w="20" w:type="dxa"/>
              <w:left w:w="20" w:type="dxa"/>
              <w:bottom w:w="100" w:type="dxa"/>
              <w:right w:w="20" w:type="dxa"/>
            </w:tcMar>
          </w:tcPr>
          <w:p w14:paraId="67BC424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1.90 (1.68, 2.14)***</w:t>
            </w:r>
          </w:p>
        </w:tc>
        <w:tc>
          <w:tcPr>
            <w:tcW w:w="1812" w:type="dxa"/>
            <w:tcBorders>
              <w:top w:val="nil"/>
              <w:left w:val="nil"/>
              <w:bottom w:val="nil"/>
              <w:right w:val="nil"/>
            </w:tcBorders>
            <w:tcMar>
              <w:top w:w="20" w:type="dxa"/>
              <w:left w:w="20" w:type="dxa"/>
              <w:bottom w:w="100" w:type="dxa"/>
              <w:right w:w="20" w:type="dxa"/>
            </w:tcMar>
          </w:tcPr>
          <w:p w14:paraId="67BC424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2.05 (1.81, 2.32)***</w:t>
            </w:r>
          </w:p>
        </w:tc>
        <w:tc>
          <w:tcPr>
            <w:tcW w:w="1812" w:type="dxa"/>
            <w:tcBorders>
              <w:top w:val="nil"/>
              <w:left w:val="nil"/>
              <w:bottom w:val="nil"/>
              <w:right w:val="nil"/>
            </w:tcBorders>
            <w:tcMar>
              <w:top w:w="20" w:type="dxa"/>
              <w:left w:w="20" w:type="dxa"/>
              <w:bottom w:w="100" w:type="dxa"/>
              <w:right w:w="20" w:type="dxa"/>
            </w:tcMar>
          </w:tcPr>
          <w:p w14:paraId="67BC424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2.03 (1.79, 2.31)***</w:t>
            </w:r>
          </w:p>
        </w:tc>
        <w:tc>
          <w:tcPr>
            <w:tcW w:w="1812" w:type="dxa"/>
            <w:tcBorders>
              <w:top w:val="nil"/>
              <w:left w:val="nil"/>
              <w:bottom w:val="nil"/>
              <w:right w:val="nil"/>
            </w:tcBorders>
            <w:tcMar>
              <w:top w:w="20" w:type="dxa"/>
              <w:left w:w="20" w:type="dxa"/>
              <w:bottom w:w="100" w:type="dxa"/>
              <w:right w:w="20" w:type="dxa"/>
            </w:tcMar>
          </w:tcPr>
          <w:p w14:paraId="67BC424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1.98 (1.75, 2.24)***</w:t>
            </w:r>
          </w:p>
        </w:tc>
      </w:tr>
      <w:tr w:rsidR="00D61F9D" w:rsidRPr="008F0DA6" w14:paraId="67BC4256" w14:textId="77777777" w:rsidTr="008F0DA6">
        <w:trPr>
          <w:trHeight w:val="20"/>
        </w:trPr>
        <w:tc>
          <w:tcPr>
            <w:tcW w:w="3082" w:type="dxa"/>
            <w:tcMar>
              <w:top w:w="28" w:type="dxa"/>
              <w:left w:w="28" w:type="dxa"/>
              <w:bottom w:w="28" w:type="dxa"/>
              <w:right w:w="28" w:type="dxa"/>
            </w:tcMar>
          </w:tcPr>
          <w:p w14:paraId="67BC424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Probable schizotypal personality disorders</w:t>
            </w:r>
          </w:p>
        </w:tc>
        <w:tc>
          <w:tcPr>
            <w:tcW w:w="1812" w:type="dxa"/>
            <w:tcBorders>
              <w:top w:val="nil"/>
              <w:left w:val="nil"/>
              <w:bottom w:val="nil"/>
              <w:right w:val="nil"/>
            </w:tcBorders>
            <w:tcMar>
              <w:top w:w="20" w:type="dxa"/>
              <w:left w:w="20" w:type="dxa"/>
              <w:bottom w:w="100" w:type="dxa"/>
              <w:right w:w="20" w:type="dxa"/>
            </w:tcMar>
          </w:tcPr>
          <w:p w14:paraId="67BC425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76 (2.9)</w:t>
            </w:r>
          </w:p>
        </w:tc>
        <w:tc>
          <w:tcPr>
            <w:tcW w:w="1812" w:type="dxa"/>
            <w:tcBorders>
              <w:top w:val="nil"/>
              <w:left w:val="nil"/>
              <w:bottom w:val="nil"/>
              <w:right w:val="nil"/>
            </w:tcBorders>
            <w:tcMar>
              <w:top w:w="20" w:type="dxa"/>
              <w:left w:w="20" w:type="dxa"/>
              <w:bottom w:w="100" w:type="dxa"/>
              <w:right w:w="20" w:type="dxa"/>
            </w:tcMar>
          </w:tcPr>
          <w:p w14:paraId="67BC425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5.23 (3.89, 7.04)***</w:t>
            </w:r>
          </w:p>
        </w:tc>
        <w:tc>
          <w:tcPr>
            <w:tcW w:w="1812" w:type="dxa"/>
            <w:tcBorders>
              <w:top w:val="nil"/>
              <w:left w:val="nil"/>
              <w:bottom w:val="nil"/>
              <w:right w:val="nil"/>
            </w:tcBorders>
            <w:tcMar>
              <w:top w:w="20" w:type="dxa"/>
              <w:left w:w="20" w:type="dxa"/>
              <w:bottom w:w="100" w:type="dxa"/>
              <w:right w:w="20" w:type="dxa"/>
            </w:tcMar>
          </w:tcPr>
          <w:p w14:paraId="67BC425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3.41 (2.62, 4.42)***</w:t>
            </w:r>
          </w:p>
        </w:tc>
        <w:tc>
          <w:tcPr>
            <w:tcW w:w="1812" w:type="dxa"/>
            <w:tcBorders>
              <w:top w:val="nil"/>
              <w:left w:val="nil"/>
              <w:bottom w:val="nil"/>
              <w:right w:val="nil"/>
            </w:tcBorders>
            <w:tcMar>
              <w:top w:w="20" w:type="dxa"/>
              <w:left w:w="20" w:type="dxa"/>
              <w:bottom w:w="100" w:type="dxa"/>
              <w:right w:w="20" w:type="dxa"/>
            </w:tcMar>
          </w:tcPr>
          <w:p w14:paraId="67BC425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3.57 (2.73, 4.67)***</w:t>
            </w:r>
          </w:p>
        </w:tc>
        <w:tc>
          <w:tcPr>
            <w:tcW w:w="1812" w:type="dxa"/>
            <w:tcBorders>
              <w:top w:val="nil"/>
              <w:left w:val="nil"/>
              <w:bottom w:val="nil"/>
              <w:right w:val="nil"/>
            </w:tcBorders>
            <w:tcMar>
              <w:top w:w="20" w:type="dxa"/>
              <w:left w:w="20" w:type="dxa"/>
              <w:bottom w:w="100" w:type="dxa"/>
              <w:right w:w="20" w:type="dxa"/>
            </w:tcMar>
          </w:tcPr>
          <w:p w14:paraId="67BC425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4.78 (3.58, 6.38)***</w:t>
            </w:r>
          </w:p>
        </w:tc>
        <w:tc>
          <w:tcPr>
            <w:tcW w:w="1812" w:type="dxa"/>
            <w:tcBorders>
              <w:top w:val="nil"/>
              <w:left w:val="nil"/>
              <w:bottom w:val="nil"/>
              <w:right w:val="nil"/>
            </w:tcBorders>
            <w:tcMar>
              <w:top w:w="20" w:type="dxa"/>
              <w:left w:w="20" w:type="dxa"/>
              <w:bottom w:w="100" w:type="dxa"/>
              <w:right w:w="20" w:type="dxa"/>
            </w:tcMar>
          </w:tcPr>
          <w:p w14:paraId="67BC425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4.52 (3.41, 5.99)***</w:t>
            </w:r>
          </w:p>
        </w:tc>
      </w:tr>
      <w:tr w:rsidR="00D61F9D" w:rsidRPr="008F0DA6" w14:paraId="67BC425E" w14:textId="77777777" w:rsidTr="008F0DA6">
        <w:trPr>
          <w:trHeight w:val="20"/>
        </w:trPr>
        <w:tc>
          <w:tcPr>
            <w:tcW w:w="3082" w:type="dxa"/>
            <w:tcMar>
              <w:top w:w="28" w:type="dxa"/>
              <w:left w:w="28" w:type="dxa"/>
              <w:bottom w:w="28" w:type="dxa"/>
              <w:right w:w="28" w:type="dxa"/>
            </w:tcMar>
          </w:tcPr>
          <w:p w14:paraId="67BC425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 xml:space="preserve">Excessive sleepiness </w:t>
            </w:r>
          </w:p>
        </w:tc>
        <w:tc>
          <w:tcPr>
            <w:tcW w:w="1812" w:type="dxa"/>
            <w:tcBorders>
              <w:top w:val="nil"/>
              <w:left w:val="nil"/>
              <w:bottom w:val="nil"/>
              <w:right w:val="nil"/>
            </w:tcBorders>
            <w:tcMar>
              <w:top w:w="20" w:type="dxa"/>
              <w:left w:w="20" w:type="dxa"/>
              <w:bottom w:w="100" w:type="dxa"/>
              <w:right w:w="20" w:type="dxa"/>
            </w:tcMar>
          </w:tcPr>
          <w:p w14:paraId="67BC425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482 (18.2)</w:t>
            </w:r>
          </w:p>
        </w:tc>
        <w:tc>
          <w:tcPr>
            <w:tcW w:w="1812" w:type="dxa"/>
            <w:tcBorders>
              <w:top w:val="nil"/>
              <w:left w:val="nil"/>
              <w:bottom w:val="nil"/>
              <w:right w:val="nil"/>
            </w:tcBorders>
            <w:tcMar>
              <w:top w:w="20" w:type="dxa"/>
              <w:left w:w="20" w:type="dxa"/>
              <w:bottom w:w="100" w:type="dxa"/>
              <w:right w:w="20" w:type="dxa"/>
            </w:tcMar>
          </w:tcPr>
          <w:p w14:paraId="67BC425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1.41 (1.27, 1.56)***</w:t>
            </w:r>
          </w:p>
        </w:tc>
        <w:tc>
          <w:tcPr>
            <w:tcW w:w="1812" w:type="dxa"/>
            <w:tcBorders>
              <w:top w:val="nil"/>
              <w:left w:val="nil"/>
              <w:bottom w:val="nil"/>
              <w:right w:val="nil"/>
            </w:tcBorders>
            <w:tcMar>
              <w:top w:w="20" w:type="dxa"/>
              <w:left w:w="20" w:type="dxa"/>
              <w:bottom w:w="100" w:type="dxa"/>
              <w:right w:w="20" w:type="dxa"/>
            </w:tcMar>
          </w:tcPr>
          <w:p w14:paraId="67BC425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1.33 (1.20, 1.47)***</w:t>
            </w:r>
          </w:p>
        </w:tc>
        <w:tc>
          <w:tcPr>
            <w:tcW w:w="1812" w:type="dxa"/>
            <w:tcBorders>
              <w:top w:val="nil"/>
              <w:left w:val="nil"/>
              <w:bottom w:val="nil"/>
              <w:right w:val="nil"/>
            </w:tcBorders>
            <w:tcMar>
              <w:top w:w="20" w:type="dxa"/>
              <w:left w:w="20" w:type="dxa"/>
              <w:bottom w:w="100" w:type="dxa"/>
              <w:right w:w="20" w:type="dxa"/>
            </w:tcMar>
          </w:tcPr>
          <w:p w14:paraId="67BC425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1.42 (1.28, 1.57)***</w:t>
            </w:r>
          </w:p>
        </w:tc>
        <w:tc>
          <w:tcPr>
            <w:tcW w:w="1812" w:type="dxa"/>
            <w:tcBorders>
              <w:top w:val="nil"/>
              <w:left w:val="nil"/>
              <w:bottom w:val="nil"/>
              <w:right w:val="nil"/>
            </w:tcBorders>
            <w:tcMar>
              <w:top w:w="20" w:type="dxa"/>
              <w:left w:w="20" w:type="dxa"/>
              <w:bottom w:w="100" w:type="dxa"/>
              <w:right w:w="20" w:type="dxa"/>
            </w:tcMar>
          </w:tcPr>
          <w:p w14:paraId="67BC425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1.42 (1.28, 1.57)***</w:t>
            </w:r>
          </w:p>
        </w:tc>
        <w:tc>
          <w:tcPr>
            <w:tcW w:w="1812" w:type="dxa"/>
            <w:tcBorders>
              <w:top w:val="nil"/>
              <w:left w:val="nil"/>
              <w:bottom w:val="nil"/>
              <w:right w:val="nil"/>
            </w:tcBorders>
            <w:tcMar>
              <w:top w:w="20" w:type="dxa"/>
              <w:left w:w="20" w:type="dxa"/>
              <w:bottom w:w="100" w:type="dxa"/>
              <w:right w:w="20" w:type="dxa"/>
            </w:tcMar>
          </w:tcPr>
          <w:p w14:paraId="67BC425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1.32 (1.20, 1.47)***</w:t>
            </w:r>
          </w:p>
        </w:tc>
      </w:tr>
      <w:tr w:rsidR="00D61F9D" w:rsidRPr="008F0DA6" w14:paraId="67BC4266" w14:textId="77777777" w:rsidTr="008F0DA6">
        <w:trPr>
          <w:trHeight w:val="20"/>
        </w:trPr>
        <w:tc>
          <w:tcPr>
            <w:tcW w:w="3082" w:type="dxa"/>
            <w:tcMar>
              <w:top w:w="28" w:type="dxa"/>
              <w:left w:w="28" w:type="dxa"/>
              <w:bottom w:w="28" w:type="dxa"/>
              <w:right w:w="28" w:type="dxa"/>
            </w:tcMar>
          </w:tcPr>
          <w:p w14:paraId="67BC425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Higher productivity loss</w:t>
            </w:r>
          </w:p>
        </w:tc>
        <w:tc>
          <w:tcPr>
            <w:tcW w:w="1812" w:type="dxa"/>
            <w:tcBorders>
              <w:top w:val="nil"/>
              <w:left w:val="nil"/>
              <w:bottom w:val="nil"/>
              <w:right w:val="nil"/>
            </w:tcBorders>
            <w:tcMar>
              <w:top w:w="20" w:type="dxa"/>
              <w:left w:w="20" w:type="dxa"/>
              <w:bottom w:w="100" w:type="dxa"/>
              <w:right w:w="20" w:type="dxa"/>
            </w:tcMar>
          </w:tcPr>
          <w:p w14:paraId="67BC426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651 (24.6)</w:t>
            </w:r>
          </w:p>
        </w:tc>
        <w:tc>
          <w:tcPr>
            <w:tcW w:w="1812" w:type="dxa"/>
            <w:tcBorders>
              <w:top w:val="nil"/>
              <w:left w:val="nil"/>
              <w:bottom w:val="nil"/>
              <w:right w:val="nil"/>
            </w:tcBorders>
            <w:tcMar>
              <w:top w:w="20" w:type="dxa"/>
              <w:left w:w="20" w:type="dxa"/>
              <w:bottom w:w="100" w:type="dxa"/>
              <w:right w:w="20" w:type="dxa"/>
            </w:tcMar>
          </w:tcPr>
          <w:p w14:paraId="67BC426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1.75 (1.58, 1.93)***</w:t>
            </w:r>
          </w:p>
        </w:tc>
        <w:tc>
          <w:tcPr>
            <w:tcW w:w="1812" w:type="dxa"/>
            <w:tcBorders>
              <w:top w:val="nil"/>
              <w:left w:val="nil"/>
              <w:bottom w:val="nil"/>
              <w:right w:val="nil"/>
            </w:tcBorders>
            <w:tcMar>
              <w:top w:w="20" w:type="dxa"/>
              <w:left w:w="20" w:type="dxa"/>
              <w:bottom w:w="100" w:type="dxa"/>
              <w:right w:w="20" w:type="dxa"/>
            </w:tcMar>
          </w:tcPr>
          <w:p w14:paraId="67BC426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1.72 (1.56, 1.90)***</w:t>
            </w:r>
          </w:p>
        </w:tc>
        <w:tc>
          <w:tcPr>
            <w:tcW w:w="1812" w:type="dxa"/>
            <w:tcBorders>
              <w:top w:val="nil"/>
              <w:left w:val="nil"/>
              <w:bottom w:val="nil"/>
              <w:right w:val="nil"/>
            </w:tcBorders>
            <w:tcMar>
              <w:top w:w="20" w:type="dxa"/>
              <w:left w:w="20" w:type="dxa"/>
              <w:bottom w:w="100" w:type="dxa"/>
              <w:right w:w="20" w:type="dxa"/>
            </w:tcMar>
          </w:tcPr>
          <w:p w14:paraId="67BC426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1.84 (1.67, 2.04)***</w:t>
            </w:r>
          </w:p>
        </w:tc>
        <w:tc>
          <w:tcPr>
            <w:tcW w:w="1812" w:type="dxa"/>
            <w:tcBorders>
              <w:top w:val="nil"/>
              <w:left w:val="nil"/>
              <w:bottom w:val="nil"/>
              <w:right w:val="nil"/>
            </w:tcBorders>
            <w:tcMar>
              <w:top w:w="20" w:type="dxa"/>
              <w:left w:w="20" w:type="dxa"/>
              <w:bottom w:w="100" w:type="dxa"/>
              <w:right w:w="20" w:type="dxa"/>
            </w:tcMar>
          </w:tcPr>
          <w:p w14:paraId="67BC426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1.72 (1.56, 1.90)***</w:t>
            </w:r>
          </w:p>
        </w:tc>
        <w:tc>
          <w:tcPr>
            <w:tcW w:w="1812" w:type="dxa"/>
            <w:tcBorders>
              <w:top w:val="nil"/>
              <w:left w:val="nil"/>
              <w:bottom w:val="nil"/>
              <w:right w:val="nil"/>
            </w:tcBorders>
            <w:tcMar>
              <w:top w:w="20" w:type="dxa"/>
              <w:left w:w="20" w:type="dxa"/>
              <w:bottom w:w="100" w:type="dxa"/>
              <w:right w:w="20" w:type="dxa"/>
            </w:tcMar>
          </w:tcPr>
          <w:p w14:paraId="67BC426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1.69 (1.53, 1.86)***</w:t>
            </w:r>
          </w:p>
        </w:tc>
      </w:tr>
      <w:tr w:rsidR="00D61F9D" w:rsidRPr="008F0DA6" w14:paraId="67BC426E" w14:textId="77777777" w:rsidTr="008F0DA6">
        <w:trPr>
          <w:trHeight w:val="20"/>
        </w:trPr>
        <w:tc>
          <w:tcPr>
            <w:tcW w:w="3082" w:type="dxa"/>
            <w:tcMar>
              <w:top w:w="28" w:type="dxa"/>
              <w:left w:w="28" w:type="dxa"/>
              <w:bottom w:w="28" w:type="dxa"/>
              <w:right w:w="28" w:type="dxa"/>
            </w:tcMar>
          </w:tcPr>
          <w:p w14:paraId="67BC426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 xml:space="preserve">Low quality of life </w:t>
            </w:r>
          </w:p>
        </w:tc>
        <w:tc>
          <w:tcPr>
            <w:tcW w:w="1812" w:type="dxa"/>
            <w:tcBorders>
              <w:top w:val="nil"/>
              <w:left w:val="nil"/>
              <w:bottom w:val="nil"/>
              <w:right w:val="nil"/>
            </w:tcBorders>
            <w:tcMar>
              <w:top w:w="20" w:type="dxa"/>
              <w:left w:w="20" w:type="dxa"/>
              <w:bottom w:w="100" w:type="dxa"/>
              <w:right w:w="20" w:type="dxa"/>
            </w:tcMar>
          </w:tcPr>
          <w:p w14:paraId="67BC426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1304 (49.3)</w:t>
            </w:r>
          </w:p>
        </w:tc>
        <w:tc>
          <w:tcPr>
            <w:tcW w:w="1812" w:type="dxa"/>
            <w:tcBorders>
              <w:top w:val="nil"/>
              <w:left w:val="nil"/>
              <w:bottom w:val="nil"/>
              <w:right w:val="nil"/>
            </w:tcBorders>
            <w:tcMar>
              <w:top w:w="20" w:type="dxa"/>
              <w:left w:w="20" w:type="dxa"/>
              <w:bottom w:w="100" w:type="dxa"/>
              <w:right w:w="20" w:type="dxa"/>
            </w:tcMar>
          </w:tcPr>
          <w:p w14:paraId="67BC426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2.28 (2.08, 2.51)***</w:t>
            </w:r>
          </w:p>
        </w:tc>
        <w:tc>
          <w:tcPr>
            <w:tcW w:w="1812" w:type="dxa"/>
            <w:tcBorders>
              <w:top w:val="nil"/>
              <w:left w:val="nil"/>
              <w:bottom w:val="nil"/>
              <w:right w:val="nil"/>
            </w:tcBorders>
            <w:tcMar>
              <w:top w:w="20" w:type="dxa"/>
              <w:left w:w="20" w:type="dxa"/>
              <w:bottom w:w="100" w:type="dxa"/>
              <w:right w:w="20" w:type="dxa"/>
            </w:tcMar>
          </w:tcPr>
          <w:p w14:paraId="67BC426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1.99 (1.82, 2.18)***</w:t>
            </w:r>
          </w:p>
        </w:tc>
        <w:tc>
          <w:tcPr>
            <w:tcW w:w="1812" w:type="dxa"/>
            <w:tcBorders>
              <w:top w:val="nil"/>
              <w:left w:val="nil"/>
              <w:bottom w:val="nil"/>
              <w:right w:val="nil"/>
            </w:tcBorders>
            <w:tcMar>
              <w:top w:w="20" w:type="dxa"/>
              <w:left w:w="20" w:type="dxa"/>
              <w:bottom w:w="100" w:type="dxa"/>
              <w:right w:w="20" w:type="dxa"/>
            </w:tcMar>
          </w:tcPr>
          <w:p w14:paraId="67BC426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2.21 (2.01, 2.42)***</w:t>
            </w:r>
          </w:p>
        </w:tc>
        <w:tc>
          <w:tcPr>
            <w:tcW w:w="1812" w:type="dxa"/>
            <w:tcBorders>
              <w:top w:val="nil"/>
              <w:left w:val="nil"/>
              <w:bottom w:val="nil"/>
              <w:right w:val="nil"/>
            </w:tcBorders>
            <w:tcMar>
              <w:top w:w="20" w:type="dxa"/>
              <w:left w:w="20" w:type="dxa"/>
              <w:bottom w:w="100" w:type="dxa"/>
              <w:right w:w="20" w:type="dxa"/>
            </w:tcMar>
          </w:tcPr>
          <w:p w14:paraId="67BC426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2.11 (1.92, 2.31)***</w:t>
            </w:r>
          </w:p>
        </w:tc>
        <w:tc>
          <w:tcPr>
            <w:tcW w:w="1812" w:type="dxa"/>
            <w:tcBorders>
              <w:top w:val="nil"/>
              <w:left w:val="nil"/>
              <w:bottom w:val="nil"/>
              <w:right w:val="nil"/>
            </w:tcBorders>
            <w:tcMar>
              <w:top w:w="20" w:type="dxa"/>
              <w:left w:w="20" w:type="dxa"/>
              <w:bottom w:w="100" w:type="dxa"/>
              <w:right w:w="20" w:type="dxa"/>
            </w:tcMar>
          </w:tcPr>
          <w:p w14:paraId="67BC426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2.17 (1.97, 2.38)***</w:t>
            </w:r>
          </w:p>
        </w:tc>
      </w:tr>
      <w:tr w:rsidR="00D61F9D" w:rsidRPr="008F0DA6" w14:paraId="67BC4276" w14:textId="77777777" w:rsidTr="008F0DA6">
        <w:trPr>
          <w:trHeight w:val="20"/>
        </w:trPr>
        <w:tc>
          <w:tcPr>
            <w:tcW w:w="3082" w:type="dxa"/>
            <w:tcMar>
              <w:top w:w="28" w:type="dxa"/>
              <w:left w:w="28" w:type="dxa"/>
              <w:bottom w:w="28" w:type="dxa"/>
              <w:right w:w="28" w:type="dxa"/>
            </w:tcMar>
          </w:tcPr>
          <w:p w14:paraId="67BC426F" w14:textId="77777777" w:rsidR="00D61F9D" w:rsidRPr="008F0DA6" w:rsidRDefault="008F0DA6" w:rsidP="008F0DA6">
            <w:pPr>
              <w:widowControl w:val="0"/>
              <w:spacing w:after="0" w:line="240" w:lineRule="auto"/>
              <w:ind w:left="0"/>
              <w:contextualSpacing/>
              <w:rPr>
                <w:b/>
                <w:i/>
                <w:sz w:val="16"/>
                <w:szCs w:val="16"/>
              </w:rPr>
            </w:pPr>
            <w:r w:rsidRPr="008F0DA6">
              <w:rPr>
                <w:b/>
                <w:i/>
                <w:sz w:val="16"/>
                <w:szCs w:val="16"/>
              </w:rPr>
              <w:t>Pooled</w:t>
            </w:r>
          </w:p>
        </w:tc>
        <w:tc>
          <w:tcPr>
            <w:tcW w:w="1812" w:type="dxa"/>
            <w:tcMar>
              <w:top w:w="28" w:type="dxa"/>
              <w:left w:w="28" w:type="dxa"/>
              <w:bottom w:w="28" w:type="dxa"/>
              <w:right w:w="28" w:type="dxa"/>
            </w:tcMar>
          </w:tcPr>
          <w:p w14:paraId="67BC4270"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n/a</w:t>
            </w:r>
          </w:p>
        </w:tc>
        <w:tc>
          <w:tcPr>
            <w:tcW w:w="1812" w:type="dxa"/>
            <w:tcMar>
              <w:top w:w="28" w:type="dxa"/>
              <w:left w:w="28" w:type="dxa"/>
              <w:bottom w:w="28" w:type="dxa"/>
              <w:right w:w="28" w:type="dxa"/>
            </w:tcMar>
          </w:tcPr>
          <w:p w14:paraId="67BC4271"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2.30 (1.76, 2.99)***</w:t>
            </w:r>
          </w:p>
        </w:tc>
        <w:tc>
          <w:tcPr>
            <w:tcW w:w="1812" w:type="dxa"/>
            <w:tcMar>
              <w:top w:w="28" w:type="dxa"/>
              <w:left w:w="28" w:type="dxa"/>
              <w:bottom w:w="28" w:type="dxa"/>
              <w:right w:w="28" w:type="dxa"/>
            </w:tcMar>
          </w:tcPr>
          <w:p w14:paraId="67BC4272"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2.04 (1.69, 2.47)***</w:t>
            </w:r>
          </w:p>
        </w:tc>
        <w:tc>
          <w:tcPr>
            <w:tcW w:w="1812" w:type="dxa"/>
            <w:tcMar>
              <w:top w:w="28" w:type="dxa"/>
              <w:left w:w="28" w:type="dxa"/>
              <w:bottom w:w="28" w:type="dxa"/>
              <w:right w:w="28" w:type="dxa"/>
            </w:tcMar>
          </w:tcPr>
          <w:p w14:paraId="67BC4273"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2.23 (1.83, 2.70)***</w:t>
            </w:r>
          </w:p>
        </w:tc>
        <w:tc>
          <w:tcPr>
            <w:tcW w:w="1812" w:type="dxa"/>
            <w:tcMar>
              <w:top w:w="28" w:type="dxa"/>
              <w:left w:w="28" w:type="dxa"/>
              <w:bottom w:w="28" w:type="dxa"/>
              <w:right w:w="28" w:type="dxa"/>
            </w:tcMar>
          </w:tcPr>
          <w:p w14:paraId="67BC4274"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2.27 (1.78, 2.90)***</w:t>
            </w:r>
          </w:p>
        </w:tc>
        <w:tc>
          <w:tcPr>
            <w:tcW w:w="1812" w:type="dxa"/>
            <w:tcMar>
              <w:top w:w="28" w:type="dxa"/>
              <w:left w:w="28" w:type="dxa"/>
              <w:bottom w:w="28" w:type="dxa"/>
              <w:right w:w="28" w:type="dxa"/>
            </w:tcMar>
          </w:tcPr>
          <w:p w14:paraId="67BC4275"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2.12 (1.65, 2.72)***</w:t>
            </w:r>
          </w:p>
        </w:tc>
      </w:tr>
      <w:tr w:rsidR="00D61F9D" w:rsidRPr="008F0DA6" w14:paraId="67BC427E" w14:textId="77777777" w:rsidTr="008F0DA6">
        <w:trPr>
          <w:trHeight w:val="20"/>
        </w:trPr>
        <w:tc>
          <w:tcPr>
            <w:tcW w:w="3082" w:type="dxa"/>
            <w:tcMar>
              <w:top w:w="28" w:type="dxa"/>
              <w:left w:w="28" w:type="dxa"/>
              <w:bottom w:w="28" w:type="dxa"/>
              <w:right w:w="28" w:type="dxa"/>
            </w:tcMar>
          </w:tcPr>
          <w:p w14:paraId="67BC4277" w14:textId="77777777" w:rsidR="00D61F9D" w:rsidRPr="008F0DA6" w:rsidRDefault="008F0DA6" w:rsidP="008F0DA6">
            <w:pPr>
              <w:widowControl w:val="0"/>
              <w:spacing w:after="0" w:line="240" w:lineRule="auto"/>
              <w:ind w:left="0"/>
              <w:contextualSpacing/>
              <w:rPr>
                <w:sz w:val="16"/>
                <w:szCs w:val="16"/>
              </w:rPr>
            </w:pPr>
            <w:r w:rsidRPr="008F0DA6">
              <w:rPr>
                <w:b/>
                <w:sz w:val="16"/>
                <w:szCs w:val="16"/>
              </w:rPr>
              <w:t>Psychosocial Qualities</w:t>
            </w:r>
          </w:p>
        </w:tc>
        <w:tc>
          <w:tcPr>
            <w:tcW w:w="1812" w:type="dxa"/>
            <w:tcMar>
              <w:top w:w="28" w:type="dxa"/>
              <w:left w:w="28" w:type="dxa"/>
              <w:bottom w:w="28" w:type="dxa"/>
              <w:right w:w="28" w:type="dxa"/>
            </w:tcMar>
          </w:tcPr>
          <w:p w14:paraId="67BC4278" w14:textId="77777777" w:rsidR="00D61F9D" w:rsidRPr="008F0DA6" w:rsidRDefault="00D61F9D" w:rsidP="008F0DA6">
            <w:pPr>
              <w:widowControl w:val="0"/>
              <w:spacing w:after="0" w:line="240" w:lineRule="auto"/>
              <w:ind w:left="0"/>
              <w:contextualSpacing/>
              <w:rPr>
                <w:sz w:val="16"/>
                <w:szCs w:val="16"/>
              </w:rPr>
            </w:pPr>
          </w:p>
        </w:tc>
        <w:tc>
          <w:tcPr>
            <w:tcW w:w="1812" w:type="dxa"/>
            <w:tcMar>
              <w:top w:w="28" w:type="dxa"/>
              <w:left w:w="28" w:type="dxa"/>
              <w:bottom w:w="28" w:type="dxa"/>
              <w:right w:w="28" w:type="dxa"/>
            </w:tcMar>
          </w:tcPr>
          <w:p w14:paraId="67BC4279" w14:textId="77777777" w:rsidR="00D61F9D" w:rsidRPr="008F0DA6" w:rsidRDefault="00D61F9D" w:rsidP="008F0DA6">
            <w:pPr>
              <w:widowControl w:val="0"/>
              <w:spacing w:after="0" w:line="240" w:lineRule="auto"/>
              <w:ind w:left="0"/>
              <w:contextualSpacing/>
              <w:rPr>
                <w:sz w:val="16"/>
                <w:szCs w:val="16"/>
              </w:rPr>
            </w:pPr>
          </w:p>
        </w:tc>
        <w:tc>
          <w:tcPr>
            <w:tcW w:w="1812" w:type="dxa"/>
            <w:tcMar>
              <w:top w:w="28" w:type="dxa"/>
              <w:left w:w="28" w:type="dxa"/>
              <w:bottom w:w="28" w:type="dxa"/>
              <w:right w:w="28" w:type="dxa"/>
            </w:tcMar>
          </w:tcPr>
          <w:p w14:paraId="67BC427A" w14:textId="77777777" w:rsidR="00D61F9D" w:rsidRPr="008F0DA6" w:rsidRDefault="00D61F9D" w:rsidP="008F0DA6">
            <w:pPr>
              <w:widowControl w:val="0"/>
              <w:spacing w:after="0" w:line="240" w:lineRule="auto"/>
              <w:ind w:left="0"/>
              <w:contextualSpacing/>
              <w:rPr>
                <w:sz w:val="16"/>
                <w:szCs w:val="16"/>
              </w:rPr>
            </w:pPr>
          </w:p>
        </w:tc>
        <w:tc>
          <w:tcPr>
            <w:tcW w:w="1812" w:type="dxa"/>
            <w:tcMar>
              <w:top w:w="28" w:type="dxa"/>
              <w:left w:w="28" w:type="dxa"/>
              <w:bottom w:w="28" w:type="dxa"/>
              <w:right w:w="28" w:type="dxa"/>
            </w:tcMar>
          </w:tcPr>
          <w:p w14:paraId="67BC427B" w14:textId="77777777" w:rsidR="00D61F9D" w:rsidRPr="008F0DA6" w:rsidRDefault="00D61F9D" w:rsidP="008F0DA6">
            <w:pPr>
              <w:widowControl w:val="0"/>
              <w:spacing w:after="0" w:line="240" w:lineRule="auto"/>
              <w:ind w:left="0"/>
              <w:contextualSpacing/>
              <w:rPr>
                <w:sz w:val="16"/>
                <w:szCs w:val="16"/>
              </w:rPr>
            </w:pPr>
          </w:p>
        </w:tc>
        <w:tc>
          <w:tcPr>
            <w:tcW w:w="1812" w:type="dxa"/>
            <w:tcMar>
              <w:top w:w="28" w:type="dxa"/>
              <w:left w:w="28" w:type="dxa"/>
              <w:bottom w:w="28" w:type="dxa"/>
              <w:right w:w="28" w:type="dxa"/>
            </w:tcMar>
          </w:tcPr>
          <w:p w14:paraId="67BC427C" w14:textId="77777777" w:rsidR="00D61F9D" w:rsidRPr="008F0DA6" w:rsidRDefault="00D61F9D" w:rsidP="008F0DA6">
            <w:pPr>
              <w:widowControl w:val="0"/>
              <w:spacing w:after="0" w:line="240" w:lineRule="auto"/>
              <w:ind w:left="0"/>
              <w:contextualSpacing/>
              <w:rPr>
                <w:sz w:val="16"/>
                <w:szCs w:val="16"/>
              </w:rPr>
            </w:pPr>
          </w:p>
        </w:tc>
        <w:tc>
          <w:tcPr>
            <w:tcW w:w="1812" w:type="dxa"/>
            <w:tcMar>
              <w:top w:w="28" w:type="dxa"/>
              <w:left w:w="28" w:type="dxa"/>
              <w:bottom w:w="28" w:type="dxa"/>
              <w:right w:w="28" w:type="dxa"/>
            </w:tcMar>
          </w:tcPr>
          <w:p w14:paraId="67BC427D" w14:textId="77777777" w:rsidR="00D61F9D" w:rsidRPr="008F0DA6" w:rsidRDefault="00D61F9D" w:rsidP="008F0DA6">
            <w:pPr>
              <w:widowControl w:val="0"/>
              <w:spacing w:after="0" w:line="240" w:lineRule="auto"/>
              <w:ind w:left="0"/>
              <w:contextualSpacing/>
              <w:rPr>
                <w:sz w:val="16"/>
                <w:szCs w:val="16"/>
              </w:rPr>
            </w:pPr>
          </w:p>
        </w:tc>
      </w:tr>
      <w:tr w:rsidR="00D61F9D" w:rsidRPr="008F0DA6" w14:paraId="67BC4286" w14:textId="77777777" w:rsidTr="008F0DA6">
        <w:trPr>
          <w:trHeight w:val="20"/>
        </w:trPr>
        <w:tc>
          <w:tcPr>
            <w:tcW w:w="3082" w:type="dxa"/>
            <w:tcMar>
              <w:top w:w="28" w:type="dxa"/>
              <w:left w:w="28" w:type="dxa"/>
              <w:bottom w:w="28" w:type="dxa"/>
              <w:right w:w="28" w:type="dxa"/>
            </w:tcMar>
          </w:tcPr>
          <w:p w14:paraId="67BC427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Higher hopelessness</w:t>
            </w:r>
          </w:p>
        </w:tc>
        <w:tc>
          <w:tcPr>
            <w:tcW w:w="1812" w:type="dxa"/>
            <w:tcBorders>
              <w:top w:val="nil"/>
              <w:left w:val="nil"/>
              <w:bottom w:val="nil"/>
              <w:right w:val="nil"/>
            </w:tcBorders>
            <w:tcMar>
              <w:top w:w="20" w:type="dxa"/>
              <w:left w:w="20" w:type="dxa"/>
              <w:bottom w:w="100" w:type="dxa"/>
              <w:right w:w="20" w:type="dxa"/>
            </w:tcMar>
          </w:tcPr>
          <w:p w14:paraId="67BC428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829 (31.4)</w:t>
            </w:r>
          </w:p>
        </w:tc>
        <w:tc>
          <w:tcPr>
            <w:tcW w:w="1812" w:type="dxa"/>
            <w:tcBorders>
              <w:top w:val="nil"/>
              <w:left w:val="nil"/>
              <w:bottom w:val="nil"/>
              <w:right w:val="nil"/>
            </w:tcBorders>
            <w:tcMar>
              <w:top w:w="20" w:type="dxa"/>
              <w:left w:w="20" w:type="dxa"/>
              <w:bottom w:w="100" w:type="dxa"/>
              <w:right w:w="20" w:type="dxa"/>
            </w:tcMar>
          </w:tcPr>
          <w:p w14:paraId="67BC428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2.51 (2.26, 2.79)***</w:t>
            </w:r>
          </w:p>
        </w:tc>
        <w:tc>
          <w:tcPr>
            <w:tcW w:w="1812" w:type="dxa"/>
            <w:tcBorders>
              <w:top w:val="nil"/>
              <w:left w:val="nil"/>
              <w:bottom w:val="nil"/>
              <w:right w:val="nil"/>
            </w:tcBorders>
            <w:tcMar>
              <w:top w:w="20" w:type="dxa"/>
              <w:left w:w="20" w:type="dxa"/>
              <w:bottom w:w="100" w:type="dxa"/>
              <w:right w:w="20" w:type="dxa"/>
            </w:tcMar>
          </w:tcPr>
          <w:p w14:paraId="67BC428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1.81 (1.65, 1.99)***</w:t>
            </w:r>
          </w:p>
        </w:tc>
        <w:tc>
          <w:tcPr>
            <w:tcW w:w="1812" w:type="dxa"/>
            <w:tcBorders>
              <w:top w:val="nil"/>
              <w:left w:val="nil"/>
              <w:bottom w:val="nil"/>
              <w:right w:val="nil"/>
            </w:tcBorders>
            <w:tcMar>
              <w:top w:w="20" w:type="dxa"/>
              <w:left w:w="20" w:type="dxa"/>
              <w:bottom w:w="100" w:type="dxa"/>
              <w:right w:w="20" w:type="dxa"/>
            </w:tcMar>
          </w:tcPr>
          <w:p w14:paraId="67BC428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1.94 (1.76, 2.13)***</w:t>
            </w:r>
          </w:p>
        </w:tc>
        <w:tc>
          <w:tcPr>
            <w:tcW w:w="1812" w:type="dxa"/>
            <w:tcBorders>
              <w:top w:val="nil"/>
              <w:left w:val="nil"/>
              <w:bottom w:val="nil"/>
              <w:right w:val="nil"/>
            </w:tcBorders>
            <w:tcMar>
              <w:top w:w="20" w:type="dxa"/>
              <w:left w:w="20" w:type="dxa"/>
              <w:bottom w:w="100" w:type="dxa"/>
              <w:right w:w="20" w:type="dxa"/>
            </w:tcMar>
          </w:tcPr>
          <w:p w14:paraId="67BC428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2.30 (2.08, 2.54)***</w:t>
            </w:r>
          </w:p>
        </w:tc>
        <w:tc>
          <w:tcPr>
            <w:tcW w:w="1812" w:type="dxa"/>
            <w:tcBorders>
              <w:top w:val="nil"/>
              <w:left w:val="nil"/>
              <w:bottom w:val="nil"/>
              <w:right w:val="nil"/>
            </w:tcBorders>
            <w:tcMar>
              <w:top w:w="20" w:type="dxa"/>
              <w:left w:w="20" w:type="dxa"/>
              <w:bottom w:w="100" w:type="dxa"/>
              <w:right w:w="20" w:type="dxa"/>
            </w:tcMar>
          </w:tcPr>
          <w:p w14:paraId="67BC428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2.30 (2.07, 2.54)***</w:t>
            </w:r>
          </w:p>
        </w:tc>
      </w:tr>
      <w:tr w:rsidR="00D61F9D" w:rsidRPr="008F0DA6" w14:paraId="67BC428E" w14:textId="77777777" w:rsidTr="008F0DA6">
        <w:trPr>
          <w:trHeight w:val="20"/>
        </w:trPr>
        <w:tc>
          <w:tcPr>
            <w:tcW w:w="3082" w:type="dxa"/>
            <w:tcMar>
              <w:top w:w="28" w:type="dxa"/>
              <w:left w:w="28" w:type="dxa"/>
              <w:bottom w:w="28" w:type="dxa"/>
              <w:right w:w="28" w:type="dxa"/>
            </w:tcMar>
          </w:tcPr>
          <w:p w14:paraId="67BC428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Higher aggression</w:t>
            </w:r>
          </w:p>
        </w:tc>
        <w:tc>
          <w:tcPr>
            <w:tcW w:w="1812" w:type="dxa"/>
            <w:tcBorders>
              <w:top w:val="nil"/>
              <w:left w:val="nil"/>
              <w:bottom w:val="nil"/>
              <w:right w:val="nil"/>
            </w:tcBorders>
            <w:tcMar>
              <w:top w:w="20" w:type="dxa"/>
              <w:left w:w="20" w:type="dxa"/>
              <w:bottom w:w="100" w:type="dxa"/>
              <w:right w:w="20" w:type="dxa"/>
            </w:tcMar>
          </w:tcPr>
          <w:p w14:paraId="67BC428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1217 (46.0)</w:t>
            </w:r>
          </w:p>
        </w:tc>
        <w:tc>
          <w:tcPr>
            <w:tcW w:w="1812" w:type="dxa"/>
            <w:tcBorders>
              <w:top w:val="nil"/>
              <w:left w:val="nil"/>
              <w:bottom w:val="nil"/>
              <w:right w:val="nil"/>
            </w:tcBorders>
            <w:tcMar>
              <w:top w:w="20" w:type="dxa"/>
              <w:left w:w="20" w:type="dxa"/>
              <w:bottom w:w="100" w:type="dxa"/>
              <w:right w:w="20" w:type="dxa"/>
            </w:tcMar>
          </w:tcPr>
          <w:p w14:paraId="67BC428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2.41 (2.19, 2.65)***</w:t>
            </w:r>
          </w:p>
        </w:tc>
        <w:tc>
          <w:tcPr>
            <w:tcW w:w="1812" w:type="dxa"/>
            <w:tcBorders>
              <w:top w:val="nil"/>
              <w:left w:val="nil"/>
              <w:bottom w:val="nil"/>
              <w:right w:val="nil"/>
            </w:tcBorders>
            <w:tcMar>
              <w:top w:w="20" w:type="dxa"/>
              <w:left w:w="20" w:type="dxa"/>
              <w:bottom w:w="100" w:type="dxa"/>
              <w:right w:w="20" w:type="dxa"/>
            </w:tcMar>
          </w:tcPr>
          <w:p w14:paraId="67BC428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2.27 (2.06, 2.49)***</w:t>
            </w:r>
          </w:p>
        </w:tc>
        <w:tc>
          <w:tcPr>
            <w:tcW w:w="1812" w:type="dxa"/>
            <w:tcBorders>
              <w:top w:val="nil"/>
              <w:left w:val="nil"/>
              <w:bottom w:val="nil"/>
              <w:right w:val="nil"/>
            </w:tcBorders>
            <w:tcMar>
              <w:top w:w="20" w:type="dxa"/>
              <w:left w:w="20" w:type="dxa"/>
              <w:bottom w:w="100" w:type="dxa"/>
              <w:right w:w="20" w:type="dxa"/>
            </w:tcMar>
          </w:tcPr>
          <w:p w14:paraId="67BC428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2.45 (2.23, 2.70)***</w:t>
            </w:r>
          </w:p>
        </w:tc>
        <w:tc>
          <w:tcPr>
            <w:tcW w:w="1812" w:type="dxa"/>
            <w:tcBorders>
              <w:top w:val="nil"/>
              <w:left w:val="nil"/>
              <w:bottom w:val="nil"/>
              <w:right w:val="nil"/>
            </w:tcBorders>
            <w:tcMar>
              <w:top w:w="20" w:type="dxa"/>
              <w:left w:w="20" w:type="dxa"/>
              <w:bottom w:w="100" w:type="dxa"/>
              <w:right w:w="20" w:type="dxa"/>
            </w:tcMar>
          </w:tcPr>
          <w:p w14:paraId="67BC428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2.32 (2.11, 2.55)***</w:t>
            </w:r>
          </w:p>
        </w:tc>
        <w:tc>
          <w:tcPr>
            <w:tcW w:w="1812" w:type="dxa"/>
            <w:tcBorders>
              <w:top w:val="nil"/>
              <w:left w:val="nil"/>
              <w:bottom w:val="nil"/>
              <w:right w:val="nil"/>
            </w:tcBorders>
            <w:tcMar>
              <w:top w:w="20" w:type="dxa"/>
              <w:left w:w="20" w:type="dxa"/>
              <w:bottom w:w="100" w:type="dxa"/>
              <w:right w:w="20" w:type="dxa"/>
            </w:tcMar>
          </w:tcPr>
          <w:p w14:paraId="67BC428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2.24 (2.04, 2.46)***</w:t>
            </w:r>
          </w:p>
        </w:tc>
      </w:tr>
      <w:tr w:rsidR="00D61F9D" w:rsidRPr="008F0DA6" w14:paraId="67BC4296" w14:textId="77777777" w:rsidTr="008F0DA6">
        <w:trPr>
          <w:trHeight w:val="20"/>
        </w:trPr>
        <w:tc>
          <w:tcPr>
            <w:tcW w:w="3082" w:type="dxa"/>
            <w:tcMar>
              <w:top w:w="28" w:type="dxa"/>
              <w:left w:w="28" w:type="dxa"/>
              <w:bottom w:w="28" w:type="dxa"/>
              <w:right w:w="28" w:type="dxa"/>
            </w:tcMar>
          </w:tcPr>
          <w:p w14:paraId="67BC428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Higher impulsivity</w:t>
            </w:r>
          </w:p>
        </w:tc>
        <w:tc>
          <w:tcPr>
            <w:tcW w:w="1812" w:type="dxa"/>
            <w:tcBorders>
              <w:top w:val="nil"/>
              <w:left w:val="nil"/>
              <w:bottom w:val="nil"/>
              <w:right w:val="nil"/>
            </w:tcBorders>
            <w:tcMar>
              <w:top w:w="20" w:type="dxa"/>
              <w:left w:w="20" w:type="dxa"/>
              <w:bottom w:w="100" w:type="dxa"/>
              <w:right w:w="20" w:type="dxa"/>
            </w:tcMar>
          </w:tcPr>
          <w:p w14:paraId="67BC429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4 (0.2)</w:t>
            </w:r>
          </w:p>
        </w:tc>
        <w:tc>
          <w:tcPr>
            <w:tcW w:w="1812" w:type="dxa"/>
            <w:tcBorders>
              <w:top w:val="nil"/>
              <w:left w:val="nil"/>
              <w:bottom w:val="nil"/>
              <w:right w:val="nil"/>
            </w:tcBorders>
            <w:tcMar>
              <w:top w:w="20" w:type="dxa"/>
              <w:left w:w="20" w:type="dxa"/>
              <w:bottom w:w="100" w:type="dxa"/>
              <w:right w:w="20" w:type="dxa"/>
            </w:tcMar>
          </w:tcPr>
          <w:p w14:paraId="67BC429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1.83 (0.67, 5.05)</w:t>
            </w:r>
          </w:p>
        </w:tc>
        <w:tc>
          <w:tcPr>
            <w:tcW w:w="1812" w:type="dxa"/>
            <w:tcBorders>
              <w:top w:val="nil"/>
              <w:left w:val="nil"/>
              <w:bottom w:val="nil"/>
              <w:right w:val="nil"/>
            </w:tcBorders>
            <w:tcMar>
              <w:top w:w="20" w:type="dxa"/>
              <w:left w:w="20" w:type="dxa"/>
              <w:bottom w:w="100" w:type="dxa"/>
              <w:right w:w="20" w:type="dxa"/>
            </w:tcMar>
          </w:tcPr>
          <w:p w14:paraId="67BC429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1.58 (0.60, 4.19)</w:t>
            </w:r>
          </w:p>
        </w:tc>
        <w:tc>
          <w:tcPr>
            <w:tcW w:w="1812" w:type="dxa"/>
            <w:tcBorders>
              <w:top w:val="nil"/>
              <w:left w:val="nil"/>
              <w:bottom w:val="nil"/>
              <w:right w:val="nil"/>
            </w:tcBorders>
            <w:tcMar>
              <w:top w:w="20" w:type="dxa"/>
              <w:left w:w="20" w:type="dxa"/>
              <w:bottom w:w="100" w:type="dxa"/>
              <w:right w:w="20" w:type="dxa"/>
            </w:tcMar>
          </w:tcPr>
          <w:p w14:paraId="67BC429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1.86 (0.69, 5.00)</w:t>
            </w:r>
          </w:p>
        </w:tc>
        <w:tc>
          <w:tcPr>
            <w:tcW w:w="1812" w:type="dxa"/>
            <w:tcBorders>
              <w:top w:val="nil"/>
              <w:left w:val="nil"/>
              <w:bottom w:val="nil"/>
              <w:right w:val="nil"/>
            </w:tcBorders>
            <w:tcMar>
              <w:top w:w="20" w:type="dxa"/>
              <w:left w:w="20" w:type="dxa"/>
              <w:bottom w:w="100" w:type="dxa"/>
              <w:right w:w="20" w:type="dxa"/>
            </w:tcMar>
          </w:tcPr>
          <w:p w14:paraId="67BC429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1.92 (0.72, 5.16)</w:t>
            </w:r>
          </w:p>
        </w:tc>
        <w:tc>
          <w:tcPr>
            <w:tcW w:w="1812" w:type="dxa"/>
            <w:tcBorders>
              <w:top w:val="nil"/>
              <w:left w:val="nil"/>
              <w:bottom w:val="nil"/>
              <w:right w:val="nil"/>
            </w:tcBorders>
            <w:tcMar>
              <w:top w:w="20" w:type="dxa"/>
              <w:left w:w="20" w:type="dxa"/>
              <w:bottom w:w="100" w:type="dxa"/>
              <w:right w:w="20" w:type="dxa"/>
            </w:tcMar>
          </w:tcPr>
          <w:p w14:paraId="67BC429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1.71 (0.62, 4.74)</w:t>
            </w:r>
          </w:p>
        </w:tc>
      </w:tr>
      <w:tr w:rsidR="00D61F9D" w:rsidRPr="008F0DA6" w14:paraId="67BC429E" w14:textId="77777777" w:rsidTr="008F0DA6">
        <w:trPr>
          <w:trHeight w:val="20"/>
        </w:trPr>
        <w:tc>
          <w:tcPr>
            <w:tcW w:w="3082" w:type="dxa"/>
            <w:tcMar>
              <w:top w:w="28" w:type="dxa"/>
              <w:left w:w="28" w:type="dxa"/>
              <w:bottom w:w="28" w:type="dxa"/>
              <w:right w:w="28" w:type="dxa"/>
            </w:tcMar>
          </w:tcPr>
          <w:p w14:paraId="67BC429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More negative to online communication</w:t>
            </w:r>
          </w:p>
        </w:tc>
        <w:tc>
          <w:tcPr>
            <w:tcW w:w="1812" w:type="dxa"/>
            <w:tcBorders>
              <w:top w:val="nil"/>
              <w:left w:val="nil"/>
              <w:bottom w:val="nil"/>
              <w:right w:val="nil"/>
            </w:tcBorders>
            <w:tcMar>
              <w:top w:w="20" w:type="dxa"/>
              <w:left w:w="20" w:type="dxa"/>
              <w:bottom w:w="100" w:type="dxa"/>
              <w:right w:w="20" w:type="dxa"/>
            </w:tcMar>
          </w:tcPr>
          <w:p w14:paraId="67BC429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1305 (49.4)</w:t>
            </w:r>
          </w:p>
        </w:tc>
        <w:tc>
          <w:tcPr>
            <w:tcW w:w="1812" w:type="dxa"/>
            <w:tcBorders>
              <w:top w:val="nil"/>
              <w:left w:val="nil"/>
              <w:bottom w:val="nil"/>
              <w:right w:val="nil"/>
            </w:tcBorders>
            <w:tcMar>
              <w:top w:w="20" w:type="dxa"/>
              <w:left w:w="20" w:type="dxa"/>
              <w:bottom w:w="100" w:type="dxa"/>
              <w:right w:w="20" w:type="dxa"/>
            </w:tcMar>
          </w:tcPr>
          <w:p w14:paraId="67BC429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1.35 (1.24, 1.46)***</w:t>
            </w:r>
          </w:p>
        </w:tc>
        <w:tc>
          <w:tcPr>
            <w:tcW w:w="1812" w:type="dxa"/>
            <w:tcBorders>
              <w:top w:val="nil"/>
              <w:left w:val="nil"/>
              <w:bottom w:val="nil"/>
              <w:right w:val="nil"/>
            </w:tcBorders>
            <w:tcMar>
              <w:top w:w="20" w:type="dxa"/>
              <w:left w:w="20" w:type="dxa"/>
              <w:bottom w:w="100" w:type="dxa"/>
              <w:right w:w="20" w:type="dxa"/>
            </w:tcMar>
          </w:tcPr>
          <w:p w14:paraId="67BC429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1.33 (1.23, 1.45)***</w:t>
            </w:r>
          </w:p>
        </w:tc>
        <w:tc>
          <w:tcPr>
            <w:tcW w:w="1812" w:type="dxa"/>
            <w:tcBorders>
              <w:top w:val="nil"/>
              <w:left w:val="nil"/>
              <w:bottom w:val="nil"/>
              <w:right w:val="nil"/>
            </w:tcBorders>
            <w:tcMar>
              <w:top w:w="20" w:type="dxa"/>
              <w:left w:w="20" w:type="dxa"/>
              <w:bottom w:w="100" w:type="dxa"/>
              <w:right w:w="20" w:type="dxa"/>
            </w:tcMar>
          </w:tcPr>
          <w:p w14:paraId="67BC429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1.36 (1.25, 1.47)***</w:t>
            </w:r>
          </w:p>
        </w:tc>
        <w:tc>
          <w:tcPr>
            <w:tcW w:w="1812" w:type="dxa"/>
            <w:tcBorders>
              <w:top w:val="nil"/>
              <w:left w:val="nil"/>
              <w:bottom w:val="nil"/>
              <w:right w:val="nil"/>
            </w:tcBorders>
            <w:tcMar>
              <w:top w:w="20" w:type="dxa"/>
              <w:left w:w="20" w:type="dxa"/>
              <w:bottom w:w="100" w:type="dxa"/>
              <w:right w:w="20" w:type="dxa"/>
            </w:tcMar>
          </w:tcPr>
          <w:p w14:paraId="67BC429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1.37 (1.26, 1.48)***</w:t>
            </w:r>
          </w:p>
        </w:tc>
        <w:tc>
          <w:tcPr>
            <w:tcW w:w="1812" w:type="dxa"/>
            <w:tcBorders>
              <w:top w:val="nil"/>
              <w:left w:val="nil"/>
              <w:bottom w:val="nil"/>
              <w:right w:val="nil"/>
            </w:tcBorders>
            <w:tcMar>
              <w:top w:w="20" w:type="dxa"/>
              <w:left w:w="20" w:type="dxa"/>
              <w:bottom w:w="100" w:type="dxa"/>
              <w:right w:w="20" w:type="dxa"/>
            </w:tcMar>
          </w:tcPr>
          <w:p w14:paraId="67BC429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1.33 (1.23, 1.44)***</w:t>
            </w:r>
          </w:p>
        </w:tc>
      </w:tr>
      <w:tr w:rsidR="00D61F9D" w:rsidRPr="008F0DA6" w14:paraId="67BC42A6" w14:textId="77777777" w:rsidTr="008F0DA6">
        <w:trPr>
          <w:trHeight w:val="20"/>
        </w:trPr>
        <w:tc>
          <w:tcPr>
            <w:tcW w:w="3082" w:type="dxa"/>
            <w:tcMar>
              <w:top w:w="28" w:type="dxa"/>
              <w:left w:w="28" w:type="dxa"/>
              <w:bottom w:w="28" w:type="dxa"/>
              <w:right w:w="28" w:type="dxa"/>
            </w:tcMar>
          </w:tcPr>
          <w:p w14:paraId="67BC429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Poorer family relationship</w:t>
            </w:r>
          </w:p>
        </w:tc>
        <w:tc>
          <w:tcPr>
            <w:tcW w:w="1812" w:type="dxa"/>
            <w:tcBorders>
              <w:top w:val="nil"/>
              <w:left w:val="nil"/>
              <w:bottom w:val="nil"/>
              <w:right w:val="nil"/>
            </w:tcBorders>
            <w:tcMar>
              <w:top w:w="20" w:type="dxa"/>
              <w:left w:w="20" w:type="dxa"/>
              <w:bottom w:w="100" w:type="dxa"/>
              <w:right w:w="20" w:type="dxa"/>
            </w:tcMar>
          </w:tcPr>
          <w:p w14:paraId="67BC42A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1170 (44.3)</w:t>
            </w:r>
          </w:p>
        </w:tc>
        <w:tc>
          <w:tcPr>
            <w:tcW w:w="1812" w:type="dxa"/>
            <w:tcBorders>
              <w:top w:val="nil"/>
              <w:left w:val="nil"/>
              <w:bottom w:val="nil"/>
              <w:right w:val="nil"/>
            </w:tcBorders>
            <w:tcMar>
              <w:top w:w="20" w:type="dxa"/>
              <w:left w:w="20" w:type="dxa"/>
              <w:bottom w:w="100" w:type="dxa"/>
              <w:right w:w="20" w:type="dxa"/>
            </w:tcMar>
          </w:tcPr>
          <w:p w14:paraId="67BC42A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1.84 (1.68, 2.01)***</w:t>
            </w:r>
          </w:p>
        </w:tc>
        <w:tc>
          <w:tcPr>
            <w:tcW w:w="1812" w:type="dxa"/>
            <w:tcBorders>
              <w:top w:val="nil"/>
              <w:left w:val="nil"/>
              <w:bottom w:val="nil"/>
              <w:right w:val="nil"/>
            </w:tcBorders>
            <w:tcMar>
              <w:top w:w="20" w:type="dxa"/>
              <w:left w:w="20" w:type="dxa"/>
              <w:bottom w:w="100" w:type="dxa"/>
              <w:right w:w="20" w:type="dxa"/>
            </w:tcMar>
          </w:tcPr>
          <w:p w14:paraId="67BC42A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1.57 (1.45, 1.71)***</w:t>
            </w:r>
          </w:p>
        </w:tc>
        <w:tc>
          <w:tcPr>
            <w:tcW w:w="1812" w:type="dxa"/>
            <w:tcBorders>
              <w:top w:val="nil"/>
              <w:left w:val="nil"/>
              <w:bottom w:val="nil"/>
              <w:right w:val="nil"/>
            </w:tcBorders>
            <w:tcMar>
              <w:top w:w="20" w:type="dxa"/>
              <w:left w:w="20" w:type="dxa"/>
              <w:bottom w:w="100" w:type="dxa"/>
              <w:right w:w="20" w:type="dxa"/>
            </w:tcMar>
          </w:tcPr>
          <w:p w14:paraId="67BC42A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1.64 (1.51, 1.78)***</w:t>
            </w:r>
          </w:p>
        </w:tc>
        <w:tc>
          <w:tcPr>
            <w:tcW w:w="1812" w:type="dxa"/>
            <w:tcBorders>
              <w:top w:val="nil"/>
              <w:left w:val="nil"/>
              <w:bottom w:val="nil"/>
              <w:right w:val="nil"/>
            </w:tcBorders>
            <w:tcMar>
              <w:top w:w="20" w:type="dxa"/>
              <w:left w:w="20" w:type="dxa"/>
              <w:bottom w:w="100" w:type="dxa"/>
              <w:right w:w="20" w:type="dxa"/>
            </w:tcMar>
          </w:tcPr>
          <w:p w14:paraId="67BC42A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1.66 (1.52, 1.80)***</w:t>
            </w:r>
          </w:p>
        </w:tc>
        <w:tc>
          <w:tcPr>
            <w:tcW w:w="1812" w:type="dxa"/>
            <w:tcBorders>
              <w:top w:val="nil"/>
              <w:left w:val="nil"/>
              <w:bottom w:val="nil"/>
              <w:right w:val="nil"/>
            </w:tcBorders>
            <w:tcMar>
              <w:top w:w="20" w:type="dxa"/>
              <w:left w:w="20" w:type="dxa"/>
              <w:bottom w:w="100" w:type="dxa"/>
              <w:right w:w="20" w:type="dxa"/>
            </w:tcMar>
          </w:tcPr>
          <w:p w14:paraId="67BC42A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1.81 (1.66, 1.98)***</w:t>
            </w:r>
          </w:p>
        </w:tc>
      </w:tr>
      <w:tr w:rsidR="00D61F9D" w:rsidRPr="008F0DA6" w14:paraId="67BC42AE" w14:textId="77777777" w:rsidTr="008F0DA6">
        <w:trPr>
          <w:trHeight w:val="20"/>
        </w:trPr>
        <w:tc>
          <w:tcPr>
            <w:tcW w:w="3082" w:type="dxa"/>
            <w:tcMar>
              <w:top w:w="28" w:type="dxa"/>
              <w:left w:w="28" w:type="dxa"/>
              <w:bottom w:w="28" w:type="dxa"/>
              <w:right w:w="28" w:type="dxa"/>
            </w:tcMar>
          </w:tcPr>
          <w:p w14:paraId="67BC42A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Low resilience</w:t>
            </w:r>
          </w:p>
        </w:tc>
        <w:tc>
          <w:tcPr>
            <w:tcW w:w="1812" w:type="dxa"/>
            <w:tcBorders>
              <w:top w:val="nil"/>
              <w:left w:val="nil"/>
              <w:bottom w:val="nil"/>
              <w:right w:val="nil"/>
            </w:tcBorders>
            <w:tcMar>
              <w:top w:w="20" w:type="dxa"/>
              <w:left w:w="20" w:type="dxa"/>
              <w:bottom w:w="100" w:type="dxa"/>
              <w:right w:w="20" w:type="dxa"/>
            </w:tcMar>
          </w:tcPr>
          <w:p w14:paraId="67BC42A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1255 (47.5)</w:t>
            </w:r>
          </w:p>
        </w:tc>
        <w:tc>
          <w:tcPr>
            <w:tcW w:w="1812" w:type="dxa"/>
            <w:tcBorders>
              <w:top w:val="nil"/>
              <w:left w:val="nil"/>
              <w:bottom w:val="nil"/>
              <w:right w:val="nil"/>
            </w:tcBorders>
            <w:tcMar>
              <w:top w:w="20" w:type="dxa"/>
              <w:left w:w="20" w:type="dxa"/>
              <w:bottom w:w="100" w:type="dxa"/>
              <w:right w:w="20" w:type="dxa"/>
            </w:tcMar>
          </w:tcPr>
          <w:p w14:paraId="67BC42A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2.20 (2.00, 2.41)***</w:t>
            </w:r>
          </w:p>
        </w:tc>
        <w:tc>
          <w:tcPr>
            <w:tcW w:w="1812" w:type="dxa"/>
            <w:tcBorders>
              <w:top w:val="nil"/>
              <w:left w:val="nil"/>
              <w:bottom w:val="nil"/>
              <w:right w:val="nil"/>
            </w:tcBorders>
            <w:tcMar>
              <w:top w:w="20" w:type="dxa"/>
              <w:left w:w="20" w:type="dxa"/>
              <w:bottom w:w="100" w:type="dxa"/>
              <w:right w:w="20" w:type="dxa"/>
            </w:tcMar>
          </w:tcPr>
          <w:p w14:paraId="67BC42A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1.73 (1.59, 1.88)***</w:t>
            </w:r>
          </w:p>
        </w:tc>
        <w:tc>
          <w:tcPr>
            <w:tcW w:w="1812" w:type="dxa"/>
            <w:tcBorders>
              <w:top w:val="nil"/>
              <w:left w:val="nil"/>
              <w:bottom w:val="nil"/>
              <w:right w:val="nil"/>
            </w:tcBorders>
            <w:tcMar>
              <w:top w:w="20" w:type="dxa"/>
              <w:left w:w="20" w:type="dxa"/>
              <w:bottom w:w="100" w:type="dxa"/>
              <w:right w:w="20" w:type="dxa"/>
            </w:tcMar>
          </w:tcPr>
          <w:p w14:paraId="67BC42A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1.79 (1.64, 1.95)***</w:t>
            </w:r>
          </w:p>
        </w:tc>
        <w:tc>
          <w:tcPr>
            <w:tcW w:w="1812" w:type="dxa"/>
            <w:tcBorders>
              <w:top w:val="nil"/>
              <w:left w:val="nil"/>
              <w:bottom w:val="nil"/>
              <w:right w:val="nil"/>
            </w:tcBorders>
            <w:tcMar>
              <w:top w:w="20" w:type="dxa"/>
              <w:left w:w="20" w:type="dxa"/>
              <w:bottom w:w="100" w:type="dxa"/>
              <w:right w:w="20" w:type="dxa"/>
            </w:tcMar>
          </w:tcPr>
          <w:p w14:paraId="67BC42A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2.04 (1.87, 2.24)***</w:t>
            </w:r>
          </w:p>
        </w:tc>
        <w:tc>
          <w:tcPr>
            <w:tcW w:w="1812" w:type="dxa"/>
            <w:tcBorders>
              <w:top w:val="nil"/>
              <w:left w:val="nil"/>
              <w:bottom w:val="nil"/>
              <w:right w:val="nil"/>
            </w:tcBorders>
            <w:tcMar>
              <w:top w:w="20" w:type="dxa"/>
              <w:left w:w="20" w:type="dxa"/>
              <w:bottom w:w="100" w:type="dxa"/>
              <w:right w:w="20" w:type="dxa"/>
            </w:tcMar>
          </w:tcPr>
          <w:p w14:paraId="67BC42A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2.05 (1.87, 2.25)***</w:t>
            </w:r>
          </w:p>
        </w:tc>
      </w:tr>
      <w:tr w:rsidR="00D61F9D" w:rsidRPr="008F0DA6" w14:paraId="67BC42B6" w14:textId="77777777" w:rsidTr="008F0DA6">
        <w:trPr>
          <w:trHeight w:val="20"/>
        </w:trPr>
        <w:tc>
          <w:tcPr>
            <w:tcW w:w="3082" w:type="dxa"/>
            <w:tcMar>
              <w:top w:w="28" w:type="dxa"/>
              <w:left w:w="28" w:type="dxa"/>
              <w:bottom w:w="28" w:type="dxa"/>
              <w:right w:w="28" w:type="dxa"/>
            </w:tcMar>
          </w:tcPr>
          <w:p w14:paraId="67BC42A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Lower self-esteem</w:t>
            </w:r>
          </w:p>
        </w:tc>
        <w:tc>
          <w:tcPr>
            <w:tcW w:w="1812" w:type="dxa"/>
            <w:tcBorders>
              <w:top w:val="nil"/>
              <w:left w:val="nil"/>
              <w:bottom w:val="nil"/>
              <w:right w:val="nil"/>
            </w:tcBorders>
            <w:tcMar>
              <w:top w:w="20" w:type="dxa"/>
              <w:left w:w="20" w:type="dxa"/>
              <w:bottom w:w="100" w:type="dxa"/>
              <w:right w:w="20" w:type="dxa"/>
            </w:tcMar>
          </w:tcPr>
          <w:p w14:paraId="67BC42B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507 (19.2)</w:t>
            </w:r>
          </w:p>
        </w:tc>
        <w:tc>
          <w:tcPr>
            <w:tcW w:w="1812" w:type="dxa"/>
            <w:tcBorders>
              <w:top w:val="nil"/>
              <w:left w:val="nil"/>
              <w:bottom w:val="nil"/>
              <w:right w:val="nil"/>
            </w:tcBorders>
            <w:tcMar>
              <w:top w:w="20" w:type="dxa"/>
              <w:left w:w="20" w:type="dxa"/>
              <w:bottom w:w="100" w:type="dxa"/>
              <w:right w:w="20" w:type="dxa"/>
            </w:tcMar>
          </w:tcPr>
          <w:p w14:paraId="67BC42B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1.34 (1.21, 1.48)***</w:t>
            </w:r>
          </w:p>
        </w:tc>
        <w:tc>
          <w:tcPr>
            <w:tcW w:w="1812" w:type="dxa"/>
            <w:tcBorders>
              <w:top w:val="nil"/>
              <w:left w:val="nil"/>
              <w:bottom w:val="nil"/>
              <w:right w:val="nil"/>
            </w:tcBorders>
            <w:tcMar>
              <w:top w:w="20" w:type="dxa"/>
              <w:left w:w="20" w:type="dxa"/>
              <w:bottom w:w="100" w:type="dxa"/>
              <w:right w:w="20" w:type="dxa"/>
            </w:tcMar>
          </w:tcPr>
          <w:p w14:paraId="67BC42B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1.15 (1.05, 1.27)**</w:t>
            </w:r>
          </w:p>
        </w:tc>
        <w:tc>
          <w:tcPr>
            <w:tcW w:w="1812" w:type="dxa"/>
            <w:tcBorders>
              <w:top w:val="nil"/>
              <w:left w:val="nil"/>
              <w:bottom w:val="nil"/>
              <w:right w:val="nil"/>
            </w:tcBorders>
            <w:tcMar>
              <w:top w:w="20" w:type="dxa"/>
              <w:left w:w="20" w:type="dxa"/>
              <w:bottom w:w="100" w:type="dxa"/>
              <w:right w:w="20" w:type="dxa"/>
            </w:tcMar>
          </w:tcPr>
          <w:p w14:paraId="67BC42B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1.18 (1.07, 1.30)**</w:t>
            </w:r>
          </w:p>
        </w:tc>
        <w:tc>
          <w:tcPr>
            <w:tcW w:w="1812" w:type="dxa"/>
            <w:tcBorders>
              <w:top w:val="nil"/>
              <w:left w:val="nil"/>
              <w:bottom w:val="nil"/>
              <w:right w:val="nil"/>
            </w:tcBorders>
            <w:tcMar>
              <w:top w:w="20" w:type="dxa"/>
              <w:left w:w="20" w:type="dxa"/>
              <w:bottom w:w="100" w:type="dxa"/>
              <w:right w:w="20" w:type="dxa"/>
            </w:tcMar>
          </w:tcPr>
          <w:p w14:paraId="67BC42B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1.29 (1.17, 1.43)***</w:t>
            </w:r>
          </w:p>
        </w:tc>
        <w:tc>
          <w:tcPr>
            <w:tcW w:w="1812" w:type="dxa"/>
            <w:tcBorders>
              <w:top w:val="nil"/>
              <w:left w:val="nil"/>
              <w:bottom w:val="nil"/>
              <w:right w:val="nil"/>
            </w:tcBorders>
            <w:tcMar>
              <w:top w:w="20" w:type="dxa"/>
              <w:left w:w="20" w:type="dxa"/>
              <w:bottom w:w="100" w:type="dxa"/>
              <w:right w:w="20" w:type="dxa"/>
            </w:tcMar>
          </w:tcPr>
          <w:p w14:paraId="67BC42B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1.33 (1.20, 1.47)***</w:t>
            </w:r>
          </w:p>
        </w:tc>
      </w:tr>
      <w:tr w:rsidR="00D61F9D" w:rsidRPr="008F0DA6" w14:paraId="67BC42BE" w14:textId="77777777" w:rsidTr="008F0DA6">
        <w:trPr>
          <w:trHeight w:val="20"/>
        </w:trPr>
        <w:tc>
          <w:tcPr>
            <w:tcW w:w="3082" w:type="dxa"/>
            <w:tcMar>
              <w:top w:w="28" w:type="dxa"/>
              <w:left w:w="28" w:type="dxa"/>
              <w:bottom w:w="28" w:type="dxa"/>
              <w:right w:w="28" w:type="dxa"/>
            </w:tcMar>
          </w:tcPr>
          <w:p w14:paraId="67BC42B7" w14:textId="77777777" w:rsidR="00D61F9D" w:rsidRPr="008F0DA6" w:rsidRDefault="008F0DA6" w:rsidP="008F0DA6">
            <w:pPr>
              <w:widowControl w:val="0"/>
              <w:spacing w:after="0" w:line="240" w:lineRule="auto"/>
              <w:ind w:left="0"/>
              <w:contextualSpacing/>
              <w:rPr>
                <w:sz w:val="16"/>
                <w:szCs w:val="16"/>
              </w:rPr>
            </w:pPr>
            <w:r w:rsidRPr="008F0DA6">
              <w:rPr>
                <w:sz w:val="16"/>
                <w:szCs w:val="16"/>
              </w:rPr>
              <w:t>Poorer goal commitment</w:t>
            </w:r>
          </w:p>
        </w:tc>
        <w:tc>
          <w:tcPr>
            <w:tcW w:w="1812" w:type="dxa"/>
            <w:tcBorders>
              <w:top w:val="nil"/>
              <w:left w:val="nil"/>
              <w:bottom w:val="nil"/>
              <w:right w:val="nil"/>
            </w:tcBorders>
            <w:tcMar>
              <w:top w:w="20" w:type="dxa"/>
              <w:left w:w="20" w:type="dxa"/>
              <w:bottom w:w="100" w:type="dxa"/>
              <w:right w:w="20" w:type="dxa"/>
            </w:tcMar>
          </w:tcPr>
          <w:p w14:paraId="67BC42B8"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1109 (42.0)</w:t>
            </w:r>
          </w:p>
        </w:tc>
        <w:tc>
          <w:tcPr>
            <w:tcW w:w="1812" w:type="dxa"/>
            <w:tcBorders>
              <w:top w:val="nil"/>
              <w:left w:val="nil"/>
              <w:bottom w:val="nil"/>
              <w:right w:val="nil"/>
            </w:tcBorders>
            <w:tcMar>
              <w:top w:w="20" w:type="dxa"/>
              <w:left w:w="20" w:type="dxa"/>
              <w:bottom w:w="100" w:type="dxa"/>
              <w:right w:w="20" w:type="dxa"/>
            </w:tcMar>
          </w:tcPr>
          <w:p w14:paraId="67BC42B9"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1.85 (1.69, 2.02)***</w:t>
            </w:r>
          </w:p>
        </w:tc>
        <w:tc>
          <w:tcPr>
            <w:tcW w:w="1812" w:type="dxa"/>
            <w:tcBorders>
              <w:top w:val="nil"/>
              <w:left w:val="nil"/>
              <w:bottom w:val="nil"/>
              <w:right w:val="nil"/>
            </w:tcBorders>
            <w:tcMar>
              <w:top w:w="20" w:type="dxa"/>
              <w:left w:w="20" w:type="dxa"/>
              <w:bottom w:w="100" w:type="dxa"/>
              <w:right w:w="20" w:type="dxa"/>
            </w:tcMar>
          </w:tcPr>
          <w:p w14:paraId="67BC42BA"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1.60 (1.47, 1.74)***</w:t>
            </w:r>
          </w:p>
        </w:tc>
        <w:tc>
          <w:tcPr>
            <w:tcW w:w="1812" w:type="dxa"/>
            <w:tcBorders>
              <w:top w:val="nil"/>
              <w:left w:val="nil"/>
              <w:bottom w:val="nil"/>
              <w:right w:val="nil"/>
            </w:tcBorders>
            <w:tcMar>
              <w:top w:w="20" w:type="dxa"/>
              <w:left w:w="20" w:type="dxa"/>
              <w:bottom w:w="100" w:type="dxa"/>
              <w:right w:w="20" w:type="dxa"/>
            </w:tcMar>
          </w:tcPr>
          <w:p w14:paraId="67BC42BB"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1.64 (1.51, 1.79)***</w:t>
            </w:r>
          </w:p>
        </w:tc>
        <w:tc>
          <w:tcPr>
            <w:tcW w:w="1812" w:type="dxa"/>
            <w:tcBorders>
              <w:top w:val="nil"/>
              <w:left w:val="nil"/>
              <w:bottom w:val="nil"/>
              <w:right w:val="nil"/>
            </w:tcBorders>
            <w:tcMar>
              <w:top w:w="20" w:type="dxa"/>
              <w:left w:w="20" w:type="dxa"/>
              <w:bottom w:w="100" w:type="dxa"/>
              <w:right w:w="20" w:type="dxa"/>
            </w:tcMar>
          </w:tcPr>
          <w:p w14:paraId="67BC42BC"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1.74 (1.60, 1.90)***</w:t>
            </w:r>
          </w:p>
        </w:tc>
        <w:tc>
          <w:tcPr>
            <w:tcW w:w="1812" w:type="dxa"/>
            <w:tcBorders>
              <w:top w:val="nil"/>
              <w:left w:val="nil"/>
              <w:bottom w:val="nil"/>
              <w:right w:val="nil"/>
            </w:tcBorders>
            <w:tcMar>
              <w:top w:w="20" w:type="dxa"/>
              <w:left w:w="20" w:type="dxa"/>
              <w:bottom w:w="100" w:type="dxa"/>
              <w:right w:w="20" w:type="dxa"/>
            </w:tcMar>
          </w:tcPr>
          <w:p w14:paraId="67BC42BD"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1.82 (1.66, 1.98)***</w:t>
            </w:r>
          </w:p>
        </w:tc>
      </w:tr>
      <w:tr w:rsidR="00D61F9D" w:rsidRPr="008F0DA6" w14:paraId="67BC42C6" w14:textId="77777777" w:rsidTr="008F0DA6">
        <w:trPr>
          <w:trHeight w:val="20"/>
        </w:trPr>
        <w:tc>
          <w:tcPr>
            <w:tcW w:w="3082" w:type="dxa"/>
            <w:tcMar>
              <w:top w:w="28" w:type="dxa"/>
              <w:left w:w="28" w:type="dxa"/>
              <w:bottom w:w="28" w:type="dxa"/>
              <w:right w:w="28" w:type="dxa"/>
            </w:tcMar>
          </w:tcPr>
          <w:p w14:paraId="67BC42B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Greater procrastination</w:t>
            </w:r>
          </w:p>
        </w:tc>
        <w:tc>
          <w:tcPr>
            <w:tcW w:w="1812" w:type="dxa"/>
            <w:tcBorders>
              <w:top w:val="nil"/>
              <w:left w:val="nil"/>
              <w:bottom w:val="nil"/>
              <w:right w:val="nil"/>
            </w:tcBorders>
            <w:tcMar>
              <w:top w:w="20" w:type="dxa"/>
              <w:left w:w="20" w:type="dxa"/>
              <w:bottom w:w="100" w:type="dxa"/>
              <w:right w:w="20" w:type="dxa"/>
            </w:tcMar>
          </w:tcPr>
          <w:p w14:paraId="67BC42C0"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1313 (49.74)</w:t>
            </w:r>
          </w:p>
        </w:tc>
        <w:tc>
          <w:tcPr>
            <w:tcW w:w="1812" w:type="dxa"/>
            <w:tcBorders>
              <w:top w:val="nil"/>
              <w:left w:val="nil"/>
              <w:bottom w:val="nil"/>
              <w:right w:val="nil"/>
            </w:tcBorders>
            <w:tcMar>
              <w:top w:w="20" w:type="dxa"/>
              <w:left w:w="20" w:type="dxa"/>
              <w:bottom w:w="100" w:type="dxa"/>
              <w:right w:w="20" w:type="dxa"/>
            </w:tcMar>
          </w:tcPr>
          <w:p w14:paraId="67BC42C1"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1.42 (1.31, 1.54)***</w:t>
            </w:r>
          </w:p>
        </w:tc>
        <w:tc>
          <w:tcPr>
            <w:tcW w:w="1812" w:type="dxa"/>
            <w:tcBorders>
              <w:top w:val="nil"/>
              <w:left w:val="nil"/>
              <w:bottom w:val="nil"/>
              <w:right w:val="nil"/>
            </w:tcBorders>
            <w:tcMar>
              <w:top w:w="20" w:type="dxa"/>
              <w:left w:w="20" w:type="dxa"/>
              <w:bottom w:w="100" w:type="dxa"/>
              <w:right w:w="20" w:type="dxa"/>
            </w:tcMar>
          </w:tcPr>
          <w:p w14:paraId="67BC42C2"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1.37 (1.26, 1.48)***</w:t>
            </w:r>
          </w:p>
        </w:tc>
        <w:tc>
          <w:tcPr>
            <w:tcW w:w="1812" w:type="dxa"/>
            <w:tcBorders>
              <w:top w:val="nil"/>
              <w:left w:val="nil"/>
              <w:bottom w:val="nil"/>
              <w:right w:val="nil"/>
            </w:tcBorders>
            <w:tcMar>
              <w:top w:w="20" w:type="dxa"/>
              <w:left w:w="20" w:type="dxa"/>
              <w:bottom w:w="100" w:type="dxa"/>
              <w:right w:w="20" w:type="dxa"/>
            </w:tcMar>
          </w:tcPr>
          <w:p w14:paraId="67BC42C3"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1.41 (1.30, 1.53)***</w:t>
            </w:r>
          </w:p>
        </w:tc>
        <w:tc>
          <w:tcPr>
            <w:tcW w:w="1812" w:type="dxa"/>
            <w:tcBorders>
              <w:top w:val="nil"/>
              <w:left w:val="nil"/>
              <w:bottom w:val="nil"/>
              <w:right w:val="nil"/>
            </w:tcBorders>
            <w:tcMar>
              <w:top w:w="20" w:type="dxa"/>
              <w:left w:w="20" w:type="dxa"/>
              <w:bottom w:w="100" w:type="dxa"/>
              <w:right w:w="20" w:type="dxa"/>
            </w:tcMar>
          </w:tcPr>
          <w:p w14:paraId="67BC42C4"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1.43 (1.32, 1.55)***</w:t>
            </w:r>
          </w:p>
        </w:tc>
        <w:tc>
          <w:tcPr>
            <w:tcW w:w="1812" w:type="dxa"/>
            <w:tcBorders>
              <w:top w:val="nil"/>
              <w:left w:val="nil"/>
              <w:bottom w:val="nil"/>
              <w:right w:val="nil"/>
            </w:tcBorders>
            <w:tcMar>
              <w:top w:w="20" w:type="dxa"/>
              <w:left w:w="20" w:type="dxa"/>
              <w:bottom w:w="100" w:type="dxa"/>
              <w:right w:w="20" w:type="dxa"/>
            </w:tcMar>
          </w:tcPr>
          <w:p w14:paraId="67BC42C5" w14:textId="77777777" w:rsidR="00D61F9D" w:rsidRPr="008F0DA6" w:rsidRDefault="008F0DA6" w:rsidP="008F0DA6">
            <w:pPr>
              <w:widowControl w:val="0"/>
              <w:spacing w:after="0" w:line="240" w:lineRule="auto"/>
              <w:ind w:left="0"/>
              <w:contextualSpacing/>
              <w:rPr>
                <w:sz w:val="16"/>
                <w:szCs w:val="16"/>
              </w:rPr>
            </w:pPr>
            <w:r w:rsidRPr="008F0DA6">
              <w:rPr>
                <w:sz w:val="16"/>
                <w:szCs w:val="16"/>
              </w:rPr>
              <w:t>1.39 (1.28, 1.50)***</w:t>
            </w:r>
          </w:p>
        </w:tc>
      </w:tr>
      <w:tr w:rsidR="00D61F9D" w:rsidRPr="008F0DA6" w14:paraId="67BC42CE" w14:textId="77777777" w:rsidTr="008F0DA6">
        <w:trPr>
          <w:trHeight w:val="20"/>
        </w:trPr>
        <w:tc>
          <w:tcPr>
            <w:tcW w:w="3082" w:type="dxa"/>
            <w:tcBorders>
              <w:bottom w:val="single" w:sz="8" w:space="0" w:color="000000"/>
            </w:tcBorders>
            <w:tcMar>
              <w:top w:w="28" w:type="dxa"/>
              <w:left w:w="28" w:type="dxa"/>
              <w:bottom w:w="28" w:type="dxa"/>
              <w:right w:w="28" w:type="dxa"/>
            </w:tcMar>
          </w:tcPr>
          <w:p w14:paraId="67BC42C7" w14:textId="77777777" w:rsidR="00D61F9D" w:rsidRPr="008F0DA6" w:rsidRDefault="008F0DA6" w:rsidP="008F0DA6">
            <w:pPr>
              <w:widowControl w:val="0"/>
              <w:spacing w:after="0" w:line="240" w:lineRule="auto"/>
              <w:ind w:left="0"/>
              <w:contextualSpacing/>
              <w:rPr>
                <w:b/>
                <w:i/>
                <w:sz w:val="16"/>
                <w:szCs w:val="16"/>
              </w:rPr>
            </w:pPr>
            <w:r w:rsidRPr="008F0DA6">
              <w:rPr>
                <w:b/>
                <w:i/>
                <w:sz w:val="16"/>
                <w:szCs w:val="16"/>
              </w:rPr>
              <w:t>Pooled</w:t>
            </w:r>
          </w:p>
        </w:tc>
        <w:tc>
          <w:tcPr>
            <w:tcW w:w="1812" w:type="dxa"/>
            <w:tcBorders>
              <w:bottom w:val="single" w:sz="8" w:space="0" w:color="000000"/>
            </w:tcBorders>
            <w:tcMar>
              <w:top w:w="28" w:type="dxa"/>
              <w:left w:w="28" w:type="dxa"/>
              <w:bottom w:w="28" w:type="dxa"/>
              <w:right w:w="28" w:type="dxa"/>
            </w:tcMar>
          </w:tcPr>
          <w:p w14:paraId="67BC42C8"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n/a</w:t>
            </w:r>
          </w:p>
        </w:tc>
        <w:tc>
          <w:tcPr>
            <w:tcW w:w="1812" w:type="dxa"/>
            <w:tcBorders>
              <w:bottom w:val="single" w:sz="8" w:space="0" w:color="000000"/>
            </w:tcBorders>
            <w:tcMar>
              <w:top w:w="28" w:type="dxa"/>
              <w:left w:w="28" w:type="dxa"/>
              <w:bottom w:w="28" w:type="dxa"/>
              <w:right w:w="28" w:type="dxa"/>
            </w:tcMar>
          </w:tcPr>
          <w:p w14:paraId="67BC42C9"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1.81 (1.54, 2.13)***</w:t>
            </w:r>
          </w:p>
        </w:tc>
        <w:tc>
          <w:tcPr>
            <w:tcW w:w="1812" w:type="dxa"/>
            <w:tcBorders>
              <w:bottom w:val="single" w:sz="8" w:space="0" w:color="000000"/>
            </w:tcBorders>
            <w:tcMar>
              <w:top w:w="28" w:type="dxa"/>
              <w:left w:w="28" w:type="dxa"/>
              <w:bottom w:w="28" w:type="dxa"/>
              <w:right w:w="28" w:type="dxa"/>
            </w:tcMar>
          </w:tcPr>
          <w:p w14:paraId="67BC42CA"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1.57 (1.38, 1.80)***</w:t>
            </w:r>
          </w:p>
        </w:tc>
        <w:tc>
          <w:tcPr>
            <w:tcW w:w="1812" w:type="dxa"/>
            <w:tcBorders>
              <w:bottom w:val="single" w:sz="8" w:space="0" w:color="000000"/>
            </w:tcBorders>
            <w:tcMar>
              <w:top w:w="28" w:type="dxa"/>
              <w:left w:w="28" w:type="dxa"/>
              <w:bottom w:w="28" w:type="dxa"/>
              <w:right w:w="28" w:type="dxa"/>
            </w:tcMar>
          </w:tcPr>
          <w:p w14:paraId="67BC42CB"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1.64 (1.42, 1.90)***</w:t>
            </w:r>
          </w:p>
        </w:tc>
        <w:tc>
          <w:tcPr>
            <w:tcW w:w="1812" w:type="dxa"/>
            <w:tcBorders>
              <w:bottom w:val="single" w:sz="8" w:space="0" w:color="000000"/>
            </w:tcBorders>
            <w:tcMar>
              <w:top w:w="28" w:type="dxa"/>
              <w:left w:w="28" w:type="dxa"/>
              <w:bottom w:w="28" w:type="dxa"/>
              <w:right w:w="28" w:type="dxa"/>
            </w:tcMar>
          </w:tcPr>
          <w:p w14:paraId="67BC42CC"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1.73 (1.49, 2.01)***</w:t>
            </w:r>
          </w:p>
        </w:tc>
        <w:tc>
          <w:tcPr>
            <w:tcW w:w="1812" w:type="dxa"/>
            <w:tcBorders>
              <w:bottom w:val="single" w:sz="8" w:space="0" w:color="000000"/>
            </w:tcBorders>
            <w:tcMar>
              <w:top w:w="28" w:type="dxa"/>
              <w:left w:w="28" w:type="dxa"/>
              <w:bottom w:w="28" w:type="dxa"/>
              <w:right w:w="28" w:type="dxa"/>
            </w:tcMar>
          </w:tcPr>
          <w:p w14:paraId="67BC42CD" w14:textId="77777777" w:rsidR="00D61F9D" w:rsidRPr="008F0DA6" w:rsidRDefault="008F0DA6" w:rsidP="008F0DA6">
            <w:pPr>
              <w:widowControl w:val="0"/>
              <w:spacing w:after="0" w:line="240" w:lineRule="auto"/>
              <w:ind w:left="0"/>
              <w:contextualSpacing/>
              <w:rPr>
                <w:b/>
                <w:sz w:val="16"/>
                <w:szCs w:val="16"/>
              </w:rPr>
            </w:pPr>
            <w:r w:rsidRPr="008F0DA6">
              <w:rPr>
                <w:b/>
                <w:sz w:val="16"/>
                <w:szCs w:val="16"/>
              </w:rPr>
              <w:t>1.74 (1.50, 2.02)***</w:t>
            </w:r>
          </w:p>
        </w:tc>
      </w:tr>
      <w:tr w:rsidR="00D61F9D" w:rsidRPr="008F0DA6" w14:paraId="67BC42D0" w14:textId="77777777" w:rsidTr="008F0DA6">
        <w:trPr>
          <w:trHeight w:val="20"/>
        </w:trPr>
        <w:tc>
          <w:tcPr>
            <w:tcW w:w="13954" w:type="dxa"/>
            <w:gridSpan w:val="7"/>
            <w:tcBorders>
              <w:bottom w:val="single" w:sz="8" w:space="0" w:color="000000"/>
            </w:tcBorders>
            <w:tcMar>
              <w:top w:w="28" w:type="dxa"/>
              <w:left w:w="28" w:type="dxa"/>
              <w:bottom w:w="28" w:type="dxa"/>
              <w:right w:w="28" w:type="dxa"/>
            </w:tcMar>
          </w:tcPr>
          <w:p w14:paraId="67BC42CF" w14:textId="77777777" w:rsidR="00D61F9D" w:rsidRPr="008F0DA6" w:rsidRDefault="008F0DA6" w:rsidP="008F0DA6">
            <w:pPr>
              <w:widowControl w:val="0"/>
              <w:spacing w:after="0" w:line="240" w:lineRule="auto"/>
              <w:ind w:left="0"/>
              <w:contextualSpacing/>
              <w:rPr>
                <w:sz w:val="16"/>
                <w:szCs w:val="16"/>
              </w:rPr>
            </w:pPr>
            <w:r w:rsidRPr="008F0DA6">
              <w:rPr>
                <w:sz w:val="16"/>
                <w:szCs w:val="16"/>
              </w:rPr>
              <w:t>Abbreviations: UCLA-LSV3, 20-item UCLA Loneliness Scale Version 3; ULS, UCLA Loneliness Scale; OR, Odds Ratio. CI, Confidence Interval; n/a, not applicable. ***</w:t>
            </w:r>
            <w:r w:rsidRPr="008F0DA6">
              <w:rPr>
                <w:i/>
                <w:sz w:val="16"/>
                <w:szCs w:val="16"/>
              </w:rPr>
              <w:t>p</w:t>
            </w:r>
            <w:r w:rsidRPr="008F0DA6">
              <w:rPr>
                <w:sz w:val="16"/>
                <w:szCs w:val="16"/>
              </w:rPr>
              <w:t xml:space="preserve"> &lt; 0.001, and **</w:t>
            </w:r>
            <w:r w:rsidRPr="008F0DA6">
              <w:rPr>
                <w:i/>
                <w:sz w:val="16"/>
                <w:szCs w:val="16"/>
              </w:rPr>
              <w:t>p</w:t>
            </w:r>
            <w:r w:rsidRPr="008F0DA6">
              <w:rPr>
                <w:sz w:val="16"/>
                <w:szCs w:val="16"/>
              </w:rPr>
              <w:t xml:space="preserve"> &lt; 0.01.</w:t>
            </w:r>
          </w:p>
        </w:tc>
      </w:tr>
    </w:tbl>
    <w:p w14:paraId="67BC42D1" w14:textId="77777777" w:rsidR="00D61F9D" w:rsidRPr="008F0DA6" w:rsidRDefault="00D61F9D">
      <w:pPr>
        <w:spacing w:line="240" w:lineRule="auto"/>
        <w:ind w:left="0"/>
        <w:jc w:val="both"/>
      </w:pPr>
    </w:p>
    <w:sectPr w:rsidR="00D61F9D" w:rsidRPr="008F0DA6">
      <w:pgSz w:w="16834" w:h="11909" w:orient="landscape"/>
      <w:pgMar w:top="1440" w:right="1440" w:bottom="1440" w:left="1440"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BC42E1" w14:textId="77777777" w:rsidR="008F0DA6" w:rsidRDefault="008F0DA6">
      <w:pPr>
        <w:spacing w:after="0" w:line="240" w:lineRule="auto"/>
      </w:pPr>
      <w:r>
        <w:separator/>
      </w:r>
    </w:p>
  </w:endnote>
  <w:endnote w:type="continuationSeparator" w:id="0">
    <w:p w14:paraId="67BC42E3" w14:textId="77777777" w:rsidR="008F0DA6" w:rsidRDefault="008F0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36F54F7B-581F-B241-9BE3-3D3E0406E4C7}"/>
    <w:embedBold r:id="rId2" w:fontKey="{41639ADB-757B-9A44-8A9C-DF137B5DF5D4}"/>
    <w:embedItalic r:id="rId3" w:fontKey="{F044C353-F732-8442-BFFA-395B54CC095C}"/>
    <w:embedBoldItalic r:id="rId4" w:fontKey="{F6CAA55E-9A34-CE47-A8C7-9743B94A97DD}"/>
  </w:font>
  <w:font w:name="Arial">
    <w:panose1 w:val="020B0604020202020204"/>
    <w:charset w:val="00"/>
    <w:family w:val="swiss"/>
    <w:pitch w:val="variable"/>
    <w:sig w:usb0="E0002EFF" w:usb1="C000785B" w:usb2="00000009" w:usb3="00000000" w:csb0="000001FF" w:csb1="00000000"/>
    <w:embedRegular r:id="rId5" w:fontKey="{05D7AED6-9E4E-EF40-8EED-10E07A3C6E09}"/>
  </w:font>
  <w:font w:name="Gungsuh">
    <w:panose1 w:val="02030600000101010101"/>
    <w:charset w:val="81"/>
    <w:family w:val="roman"/>
    <w:pitch w:val="variable"/>
    <w:sig w:usb0="B00002AF" w:usb1="69D77CFB" w:usb2="00000030" w:usb3="00000000" w:csb0="0008009F" w:csb1="00000000"/>
  </w:font>
  <w:font w:name="Cardo">
    <w:panose1 w:val="020B0604020202020204"/>
    <w:charset w:val="00"/>
    <w:family w:val="auto"/>
    <w:pitch w:val="default"/>
    <w:embedRegular r:id="rId6" w:fontKey="{D49E7A8C-A57A-5847-AE30-0F542366E39A}"/>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7" w:fontKey="{9D10A752-C729-5F4D-9BAC-57EBA5E121DE}"/>
  </w:font>
  <w:font w:name="Cambria">
    <w:panose1 w:val="02040503050406030204"/>
    <w:charset w:val="00"/>
    <w:family w:val="roman"/>
    <w:pitch w:val="variable"/>
    <w:sig w:usb0="E00006FF" w:usb1="420024FF" w:usb2="02000000" w:usb3="00000000" w:csb0="0000019F" w:csb1="00000000"/>
    <w:embedRegular r:id="rId8" w:fontKey="{DFFD6489-88D1-D84C-BB32-2875C5FAA13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C42DC" w14:textId="06ED09AF" w:rsidR="00D61F9D" w:rsidRDefault="008F0DA6">
    <w:pPr>
      <w:ind w:left="0"/>
      <w:jc w:val="center"/>
    </w:pPr>
    <w:r>
      <w:fldChar w:fldCharType="begin"/>
    </w:r>
    <w:r>
      <w:instrText>PAGE</w:instrText>
    </w:r>
    <w:r>
      <w:fldChar w:fldCharType="separate"/>
    </w:r>
    <w:r w:rsidR="00376A5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BC42DD" w14:textId="77777777" w:rsidR="008F0DA6" w:rsidRDefault="008F0DA6">
      <w:pPr>
        <w:spacing w:after="0" w:line="240" w:lineRule="auto"/>
      </w:pPr>
      <w:r>
        <w:separator/>
      </w:r>
    </w:p>
  </w:footnote>
  <w:footnote w:type="continuationSeparator" w:id="0">
    <w:p w14:paraId="67BC42DF" w14:textId="77777777" w:rsidR="008F0DA6" w:rsidRDefault="008F0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2B7F63"/>
    <w:multiLevelType w:val="multilevel"/>
    <w:tmpl w:val="8F1EDE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945527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F9D"/>
    <w:rsid w:val="00376A58"/>
    <w:rsid w:val="00393C3C"/>
    <w:rsid w:val="008F0DA6"/>
    <w:rsid w:val="00D61F9D"/>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67BC418F"/>
  <w15:docId w15:val="{F16FA384-1835-A349-B720-09CA74028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zh-TW" w:bidi="ar-SA"/>
      </w:rPr>
    </w:rPrDefault>
    <w:pPrDefault>
      <w:pPr>
        <w:spacing w:after="200" w:line="276"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ind w:left="0"/>
      <w:jc w:val="both"/>
      <w:outlineLvl w:val="0"/>
    </w:pPr>
    <w:rPr>
      <w:b/>
    </w:rPr>
  </w:style>
  <w:style w:type="paragraph" w:styleId="Heading2">
    <w:name w:val="heading 2"/>
    <w:basedOn w:val="Normal"/>
    <w:next w:val="Normal"/>
    <w:uiPriority w:val="9"/>
    <w:unhideWhenUsed/>
    <w:qFormat/>
    <w:pPr>
      <w:keepNext/>
      <w:keepLines/>
      <w:spacing w:line="240" w:lineRule="auto"/>
      <w:ind w:left="0"/>
      <w:jc w:val="both"/>
      <w:outlineLvl w:val="1"/>
    </w:pPr>
    <w:rPr>
      <w:b/>
    </w:rPr>
  </w:style>
  <w:style w:type="paragraph" w:styleId="Heading3">
    <w:name w:val="heading 3"/>
    <w:basedOn w:val="Normal"/>
    <w:next w:val="Normal"/>
    <w:uiPriority w:val="9"/>
    <w:unhideWhenUsed/>
    <w:qFormat/>
    <w:pPr>
      <w:keepNext/>
      <w:keepLines/>
      <w:spacing w:after="0"/>
      <w:ind w:left="0"/>
      <w:outlineLvl w:val="2"/>
    </w:pPr>
    <w:rPr>
      <w:i/>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line="240" w:lineRule="auto"/>
      <w:jc w:val="center"/>
    </w:pPr>
    <w:rPr>
      <w:b/>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heilbrigdisvisindastofnun.hi.is/files/2022-12/LSAS_Manual.pdf"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yperlink" Target="https://integrativehealthpartners.org/downloads/ACTmeasures.pdf" TargetMode="External"/><Relationship Id="rId4" Type="http://schemas.openxmlformats.org/officeDocument/2006/relationships/webSettings" Target="webSettings.xml"/><Relationship Id="rId9" Type="http://schemas.openxmlformats.org/officeDocument/2006/relationships/hyperlink" Target="https://citeseerx.ist.psu.edu/document?repid=rep1&amp;type=pdf&amp;doi=dc5904fa916010211b0c23c7e0beba4eb365b4de" TargetMode="External"/><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.~WRD4062</Template>
  <TotalTime>2</TotalTime>
  <Pages>9</Pages>
  <Words>3706</Words>
  <Characters>21128</Characters>
  <Application>Microsoft Office Word</Application>
  <DocSecurity>0</DocSecurity>
  <Lines>176</Lines>
  <Paragraphs>49</Paragraphs>
  <ScaleCrop>false</ScaleCrop>
  <Company/>
  <LinksUpToDate>false</LinksUpToDate>
  <CharactersWithSpaces>24785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Yi Nam Suen</cp:lastModifiedBy>
  <cp:revision>3</cp:revision>
  <dcterms:created xsi:type="dcterms:W3CDTF">2024-08-13T00:23:00Z</dcterms:created>
  <dcterms:modified xsi:type="dcterms:W3CDTF">2024-08-13T00:25:00Z</dcterms:modified>
</cp:coreProperties>
</file>