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261"/>
        <w:gridCol w:w="4261"/>
      </w:tblGrid>
      <w:tr w14:paraId="1E1D9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261" w:type="dxa"/>
          </w:tcPr>
          <w:p w14:paraId="7D0F93D3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Abbreviation</w:t>
            </w:r>
          </w:p>
        </w:tc>
        <w:tc>
          <w:tcPr>
            <w:tcW w:w="4261" w:type="dxa"/>
          </w:tcPr>
          <w:p w14:paraId="28E6BF52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Description</w:t>
            </w:r>
          </w:p>
        </w:tc>
      </w:tr>
      <w:tr w14:paraId="6BB38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707CF2AA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SCI</w:t>
            </w:r>
          </w:p>
        </w:tc>
        <w:tc>
          <w:tcPr>
            <w:tcW w:w="4261" w:type="dxa"/>
          </w:tcPr>
          <w:p w14:paraId="1A5FF336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Spinal Cord Injury</w:t>
            </w:r>
          </w:p>
        </w:tc>
      </w:tr>
      <w:tr w14:paraId="7DC0E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7037F061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EES</w:t>
            </w:r>
          </w:p>
        </w:tc>
        <w:tc>
          <w:tcPr>
            <w:tcW w:w="4261" w:type="dxa"/>
          </w:tcPr>
          <w:p w14:paraId="56EDA2E5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Epidural Electrical Stimulation </w:t>
            </w:r>
          </w:p>
        </w:tc>
      </w:tr>
      <w:tr w14:paraId="199C9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513A7CFF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hUCMSCs</w:t>
            </w:r>
          </w:p>
        </w:tc>
        <w:tc>
          <w:tcPr>
            <w:tcW w:w="4261" w:type="dxa"/>
          </w:tcPr>
          <w:p w14:paraId="0938F5BD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H</w:t>
            </w:r>
            <w:r>
              <w:rPr>
                <w:rFonts w:hint="eastAsia"/>
                <w:vertAlign w:val="baseline"/>
              </w:rPr>
              <w:t xml:space="preserve">uman </w:t>
            </w:r>
            <w:r>
              <w:rPr>
                <w:rFonts w:hint="eastAsia"/>
                <w:vertAlign w:val="baseline"/>
                <w:lang w:val="en-US" w:eastAsia="zh-CN"/>
              </w:rPr>
              <w:t>U</w:t>
            </w:r>
            <w:r>
              <w:rPr>
                <w:rFonts w:hint="eastAsia"/>
                <w:vertAlign w:val="baseline"/>
              </w:rPr>
              <w:t xml:space="preserve">mbilical </w:t>
            </w:r>
            <w:r>
              <w:rPr>
                <w:rFonts w:hint="eastAsia"/>
                <w:vertAlign w:val="baseline"/>
                <w:lang w:val="en-US" w:eastAsia="zh-CN"/>
              </w:rPr>
              <w:t>C</w:t>
            </w:r>
            <w:r>
              <w:rPr>
                <w:rFonts w:hint="eastAsia"/>
                <w:vertAlign w:val="baseline"/>
              </w:rPr>
              <w:t xml:space="preserve">ord </w:t>
            </w:r>
            <w:r>
              <w:rPr>
                <w:rFonts w:hint="eastAsia"/>
                <w:vertAlign w:val="baseline"/>
                <w:lang w:val="en-US" w:eastAsia="zh-CN"/>
              </w:rPr>
              <w:t>M</w:t>
            </w:r>
            <w:r>
              <w:rPr>
                <w:rFonts w:hint="eastAsia"/>
                <w:vertAlign w:val="baseline"/>
              </w:rPr>
              <w:t xml:space="preserve">esenchymal </w:t>
            </w:r>
            <w:r>
              <w:rPr>
                <w:rFonts w:hint="eastAsia"/>
                <w:vertAlign w:val="baseline"/>
                <w:lang w:val="en-US" w:eastAsia="zh-CN"/>
              </w:rPr>
              <w:t>S</w:t>
            </w:r>
            <w:r>
              <w:rPr>
                <w:rFonts w:hint="eastAsia"/>
                <w:vertAlign w:val="baseline"/>
              </w:rPr>
              <w:t xml:space="preserve">tem </w:t>
            </w:r>
            <w:r>
              <w:rPr>
                <w:rFonts w:hint="eastAsia"/>
                <w:vertAlign w:val="baseline"/>
                <w:lang w:val="en-US" w:eastAsia="zh-CN"/>
              </w:rPr>
              <w:t>C</w:t>
            </w:r>
            <w:r>
              <w:rPr>
                <w:rFonts w:hint="eastAsia"/>
                <w:vertAlign w:val="baseline"/>
              </w:rPr>
              <w:t xml:space="preserve">ells </w:t>
            </w:r>
          </w:p>
        </w:tc>
      </w:tr>
      <w:tr w14:paraId="1BA6A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057C101D">
            <w:pPr>
              <w:rPr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>NSCs</w:t>
            </w:r>
          </w:p>
        </w:tc>
        <w:tc>
          <w:tcPr>
            <w:tcW w:w="4261" w:type="dxa"/>
          </w:tcPr>
          <w:p w14:paraId="132AF097">
            <w:pPr>
              <w:rPr>
                <w:vertAlign w:val="baseline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>N</w:t>
            </w: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 xml:space="preserve">eural </w:t>
            </w:r>
            <w:r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>S</w:t>
            </w: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 xml:space="preserve">tem </w:t>
            </w:r>
            <w:r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 xml:space="preserve">ells </w:t>
            </w:r>
          </w:p>
        </w:tc>
      </w:tr>
      <w:tr w14:paraId="447E1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0F2CEE93">
            <w:pP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>CT</w:t>
            </w:r>
          </w:p>
        </w:tc>
        <w:tc>
          <w:tcPr>
            <w:tcW w:w="4261" w:type="dxa"/>
          </w:tcPr>
          <w:p w14:paraId="07C40D0C">
            <w:pP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>Cell Transplantation</w:t>
            </w:r>
          </w:p>
        </w:tc>
      </w:tr>
      <w:tr w14:paraId="37554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191F3AA6">
            <w:pPr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>DEGs</w:t>
            </w:r>
          </w:p>
        </w:tc>
        <w:tc>
          <w:tcPr>
            <w:tcW w:w="4261" w:type="dxa"/>
          </w:tcPr>
          <w:p w14:paraId="6F1CB298">
            <w:pPr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>D</w:t>
            </w: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 xml:space="preserve">ifferentially </w:t>
            </w:r>
            <w:r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>E</w:t>
            </w: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 xml:space="preserve">xpressed </w:t>
            </w:r>
            <w:r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>G</w:t>
            </w: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 xml:space="preserve">enes </w:t>
            </w:r>
          </w:p>
        </w:tc>
      </w:tr>
      <w:tr w14:paraId="2F374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0CF6AD70">
            <w:pP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>GO/</w:t>
            </w:r>
          </w:p>
        </w:tc>
        <w:tc>
          <w:tcPr>
            <w:tcW w:w="4261" w:type="dxa"/>
          </w:tcPr>
          <w:p w14:paraId="721422B0">
            <w:pP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>Gene Ontology</w:t>
            </w:r>
          </w:p>
        </w:tc>
      </w:tr>
      <w:tr w14:paraId="21880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236A00D2">
            <w:pP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>KEGG</w:t>
            </w:r>
          </w:p>
        </w:tc>
        <w:tc>
          <w:tcPr>
            <w:tcW w:w="4261" w:type="dxa"/>
          </w:tcPr>
          <w:p w14:paraId="12D83251">
            <w:pPr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>Kyoto Encyclopedia of Genes and Genomes</w:t>
            </w:r>
          </w:p>
        </w:tc>
      </w:tr>
      <w:tr w14:paraId="3F3A4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4C801DD0">
            <w:pP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>GSEA</w:t>
            </w:r>
          </w:p>
        </w:tc>
        <w:tc>
          <w:tcPr>
            <w:tcW w:w="4261" w:type="dxa"/>
          </w:tcPr>
          <w:p w14:paraId="271DA13E">
            <w:pP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>Gene Set Enrichment Analysis</w:t>
            </w:r>
          </w:p>
        </w:tc>
      </w:tr>
      <w:tr w14:paraId="71255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05CDB10F">
            <w:pP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>DTI</w:t>
            </w:r>
          </w:p>
        </w:tc>
        <w:tc>
          <w:tcPr>
            <w:tcW w:w="4261" w:type="dxa"/>
          </w:tcPr>
          <w:p w14:paraId="65E05369">
            <w:pPr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>D</w:t>
            </w: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 xml:space="preserve">iffusion </w:t>
            </w:r>
            <w:r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>T</w:t>
            </w: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 xml:space="preserve">ensor </w:t>
            </w:r>
            <w:r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>I</w:t>
            </w: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>maging</w:t>
            </w:r>
          </w:p>
        </w:tc>
      </w:tr>
      <w:tr w14:paraId="05091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10119584">
            <w:pP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>ChABC</w:t>
            </w:r>
          </w:p>
        </w:tc>
        <w:tc>
          <w:tcPr>
            <w:tcW w:w="4261" w:type="dxa"/>
          </w:tcPr>
          <w:p w14:paraId="28B6001F">
            <w:pPr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 xml:space="preserve">Chondroitinase ABC </w:t>
            </w:r>
          </w:p>
        </w:tc>
      </w:tr>
      <w:tr w14:paraId="14AAD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1C1E0E1C">
            <w:pP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>CSPG</w:t>
            </w:r>
          </w:p>
        </w:tc>
        <w:tc>
          <w:tcPr>
            <w:tcW w:w="4261" w:type="dxa"/>
          </w:tcPr>
          <w:p w14:paraId="7F3A0AA1">
            <w:pP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 xml:space="preserve">Chondroitin Sulfate Proteoglycans </w:t>
            </w:r>
          </w:p>
        </w:tc>
      </w:tr>
      <w:tr w14:paraId="4320D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7C258F36">
            <w:pP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highlight w:val="yellow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>SCS</w:t>
            </w:r>
          </w:p>
        </w:tc>
        <w:tc>
          <w:tcPr>
            <w:tcW w:w="4261" w:type="dxa"/>
          </w:tcPr>
          <w:p w14:paraId="3D392324">
            <w:pP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>S</w:t>
            </w: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 xml:space="preserve">pinal </w:t>
            </w:r>
            <w:r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 xml:space="preserve">ord </w:t>
            </w:r>
            <w:r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>S</w:t>
            </w: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>timulation</w:t>
            </w:r>
          </w:p>
        </w:tc>
      </w:tr>
      <w:tr w14:paraId="2BC55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705C7186">
            <w:pP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highlight w:val="yellow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>CPG</w:t>
            </w:r>
          </w:p>
        </w:tc>
        <w:tc>
          <w:tcPr>
            <w:tcW w:w="4261" w:type="dxa"/>
          </w:tcPr>
          <w:p w14:paraId="58F69CCB">
            <w:pP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 xml:space="preserve">entral </w:t>
            </w:r>
            <w:r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 xml:space="preserve">attern </w:t>
            </w:r>
            <w:r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>G</w:t>
            </w: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 xml:space="preserve">enerator </w:t>
            </w:r>
          </w:p>
        </w:tc>
      </w:tr>
      <w:tr w14:paraId="5DD5E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20C6A53F">
            <w:pP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highlight w:val="yellow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>BMS</w:t>
            </w:r>
          </w:p>
        </w:tc>
        <w:tc>
          <w:tcPr>
            <w:tcW w:w="4261" w:type="dxa"/>
          </w:tcPr>
          <w:p w14:paraId="412B5E3C">
            <w:pP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highlight w:val="yellow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>Basso Mouse Scale</w:t>
            </w:r>
          </w:p>
        </w:tc>
      </w:tr>
      <w:tr w14:paraId="70DC2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77AAF350">
            <w:pP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>LSS</w:t>
            </w:r>
          </w:p>
        </w:tc>
        <w:tc>
          <w:tcPr>
            <w:tcW w:w="4261" w:type="dxa"/>
          </w:tcPr>
          <w:p w14:paraId="4EF71B74">
            <w:pP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 xml:space="preserve">Louisville Swim Scale </w:t>
            </w:r>
          </w:p>
        </w:tc>
      </w:tr>
      <w:tr w14:paraId="1F9F1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30D1ED3A">
            <w:pP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>MEPs</w:t>
            </w:r>
            <w:bookmarkStart w:id="0" w:name="_GoBack"/>
            <w:bookmarkEnd w:id="0"/>
          </w:p>
        </w:tc>
        <w:tc>
          <w:tcPr>
            <w:tcW w:w="4261" w:type="dxa"/>
          </w:tcPr>
          <w:p w14:paraId="62F054A8">
            <w:pP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>M</w:t>
            </w: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 xml:space="preserve">uscle </w:t>
            </w:r>
            <w:r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>E</w:t>
            </w: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 xml:space="preserve">voked </w:t>
            </w:r>
            <w:r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 xml:space="preserve">otentials </w:t>
            </w:r>
          </w:p>
        </w:tc>
      </w:tr>
      <w:tr w14:paraId="72465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6A9DB335">
            <w:pP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>OCT</w:t>
            </w:r>
          </w:p>
        </w:tc>
        <w:tc>
          <w:tcPr>
            <w:tcW w:w="4261" w:type="dxa"/>
          </w:tcPr>
          <w:p w14:paraId="097F27F0">
            <w:pPr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 xml:space="preserve">Cutting Temperature Compound </w:t>
            </w:r>
          </w:p>
        </w:tc>
      </w:tr>
      <w:tr w14:paraId="71134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431921FF">
            <w:pP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>HE</w:t>
            </w:r>
          </w:p>
        </w:tc>
        <w:tc>
          <w:tcPr>
            <w:tcW w:w="4261" w:type="dxa"/>
          </w:tcPr>
          <w:p w14:paraId="1D1896B7">
            <w:pPr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>Hematoxylin-Eosin</w:t>
            </w:r>
          </w:p>
        </w:tc>
      </w:tr>
      <w:tr w14:paraId="51BFA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0C9ABEF2">
            <w:pPr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>iNOS</w:t>
            </w:r>
          </w:p>
        </w:tc>
        <w:tc>
          <w:tcPr>
            <w:tcW w:w="4261" w:type="dxa"/>
          </w:tcPr>
          <w:p w14:paraId="3B802E68">
            <w:pP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 xml:space="preserve">Induced nitric oxide synthase </w:t>
            </w:r>
          </w:p>
        </w:tc>
      </w:tr>
      <w:tr w14:paraId="05D81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01EA9791">
            <w:pP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>Arg1</w:t>
            </w:r>
          </w:p>
        </w:tc>
        <w:tc>
          <w:tcPr>
            <w:tcW w:w="4261" w:type="dxa"/>
          </w:tcPr>
          <w:p w14:paraId="3E62325C">
            <w:pP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 xml:space="preserve">rginase 1 </w:t>
            </w:r>
          </w:p>
        </w:tc>
      </w:tr>
      <w:tr w14:paraId="061D3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12B97569">
            <w:pP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>PDGF</w:t>
            </w:r>
          </w:p>
        </w:tc>
        <w:tc>
          <w:tcPr>
            <w:tcW w:w="4261" w:type="dxa"/>
          </w:tcPr>
          <w:p w14:paraId="3EE7275D">
            <w:pPr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 xml:space="preserve">latelet-derived </w:t>
            </w:r>
            <w:r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>G</w:t>
            </w: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 xml:space="preserve">rowth </w:t>
            </w:r>
            <w:r>
              <w:rPr>
                <w:rFonts w:hint="eastAsia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>F</w:t>
            </w: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lang w:val="en-US" w:eastAsia="zh-CN" w:bidi="ar"/>
              </w:rPr>
              <w:t xml:space="preserve">actor </w:t>
            </w:r>
          </w:p>
        </w:tc>
      </w:tr>
    </w:tbl>
    <w:p w14:paraId="3E7B0DF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@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diM2NiZjZhM2MxNDliN2NkZGFlYzdkM2Y2MTZjNzUifQ=="/>
  </w:docVars>
  <w:rsids>
    <w:rsidRoot w:val="5A817448"/>
    <w:rsid w:val="5A817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等线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等线" w:hAnsi="等线" w:eastAsia="等线" w:cs="等线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Office_12.1.0.17813_F1E327BC-269C-435d-A152-05C5408002CA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2024-08-13T04:02:00Z</dcterms:created>
  <dc:creator>周密</dc:creator>
  <cp:lastModifiedBy>周密</cp:lastModifiedBy>
  <dcterms:modified xsi:type="dcterms:W3CDTF">2024-08-13T04:37:07Z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2052-12.1.0.17813</vt:lpwstr>
  </property>
  <property fmtid="{D5CDD505-2E9C-101B-9397-08002B2CF9AE}" pid="3" name="ICV">
    <vt:lpwstr>BAFCDDD449324F1F8B673EF7AAD99B7D_11</vt:lpwstr>
  </property>
</Properties>
</file>