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05"/>
        <w:gridCol w:w="1575"/>
        <w:gridCol w:w="1360"/>
        <w:gridCol w:w="1401"/>
        <w:gridCol w:w="1356"/>
        <w:gridCol w:w="1425"/>
      </w:tblGrid>
      <w:tr w14:paraId="4CC8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9" w:type="dxa"/>
          </w:tcPr>
          <w:p w14:paraId="7F354E8F">
            <w:pPr>
              <w:jc w:val="center"/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Group abbreviation</w:t>
            </w:r>
          </w:p>
        </w:tc>
        <w:tc>
          <w:tcPr>
            <w:tcW w:w="1419" w:type="dxa"/>
          </w:tcPr>
          <w:p w14:paraId="71C4C1A7">
            <w:pPr>
              <w:jc w:val="center"/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Group description</w:t>
            </w:r>
          </w:p>
        </w:tc>
        <w:tc>
          <w:tcPr>
            <w:tcW w:w="1419" w:type="dxa"/>
          </w:tcPr>
          <w:p w14:paraId="3D17910B">
            <w:pPr>
              <w:jc w:val="center"/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Total number of animals included in study</w:t>
            </w:r>
          </w:p>
        </w:tc>
        <w:tc>
          <w:tcPr>
            <w:tcW w:w="1420" w:type="dxa"/>
          </w:tcPr>
          <w:p w14:paraId="30E5330D">
            <w:pPr>
              <w:jc w:val="center"/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Animal</w:t>
            </w:r>
            <w:r>
              <w:rPr>
                <w:rFonts w:hint="eastAsia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s e</w:t>
            </w: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 xml:space="preserve">xclusion from the </w:t>
            </w:r>
            <w:r>
              <w:rPr>
                <w:rFonts w:hint="eastAsia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roup.</w:t>
            </w:r>
          </w:p>
        </w:tc>
        <w:tc>
          <w:tcPr>
            <w:tcW w:w="1420" w:type="dxa"/>
          </w:tcPr>
          <w:p w14:paraId="707027D4">
            <w:pPr>
              <w:jc w:val="center"/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Number of animals in group at the end of the study</w:t>
            </w:r>
          </w:p>
        </w:tc>
        <w:tc>
          <w:tcPr>
            <w:tcW w:w="1420" w:type="dxa"/>
          </w:tcPr>
          <w:p w14:paraId="7F7056D7">
            <w:pPr>
              <w:jc w:val="center"/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z w:val="21"/>
                <w:szCs w:val="21"/>
                <w:vertAlign w:val="baseline"/>
                <w:lang w:val="en-US" w:eastAsia="zh-CN"/>
              </w:rPr>
              <w:t>Survival coefficient(%)</w:t>
            </w:r>
          </w:p>
        </w:tc>
      </w:tr>
      <w:tr w14:paraId="37FC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9" w:type="dxa"/>
          </w:tcPr>
          <w:p w14:paraId="61246D1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Injury</w:t>
            </w:r>
          </w:p>
        </w:tc>
        <w:tc>
          <w:tcPr>
            <w:tcW w:w="1419" w:type="dxa"/>
          </w:tcPr>
          <w:p w14:paraId="1E732C1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Spinal cord crush injury</w:t>
            </w:r>
          </w:p>
        </w:tc>
        <w:tc>
          <w:tcPr>
            <w:tcW w:w="1419" w:type="dxa"/>
          </w:tcPr>
          <w:p w14:paraId="54DFAF5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20" w:type="dxa"/>
          </w:tcPr>
          <w:p w14:paraId="06862C3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1:due to an aggravated infection following prolonged dragging injury of the lower limbs</w:t>
            </w:r>
          </w:p>
          <w:p w14:paraId="1B7082D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2:serious urinary tract infection</w:t>
            </w:r>
          </w:p>
        </w:tc>
        <w:tc>
          <w:tcPr>
            <w:tcW w:w="1420" w:type="dxa"/>
          </w:tcPr>
          <w:p w14:paraId="4EA1A85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20" w:type="dxa"/>
          </w:tcPr>
          <w:p w14:paraId="419BE65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80%</w:t>
            </w:r>
          </w:p>
        </w:tc>
      </w:tr>
      <w:tr w14:paraId="0A361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9" w:type="dxa"/>
          </w:tcPr>
          <w:p w14:paraId="623323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EES</w:t>
            </w:r>
          </w:p>
        </w:tc>
        <w:tc>
          <w:tcPr>
            <w:tcW w:w="1419" w:type="dxa"/>
          </w:tcPr>
          <w:p w14:paraId="426CD03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Seven days post-</w:t>
            </w:r>
            <w:r>
              <w:rPr>
                <w:rFonts w:hint="eastAsia"/>
                <w:vertAlign w:val="baseline"/>
                <w:lang w:val="en-US" w:eastAsia="zh-CN"/>
              </w:rPr>
              <w:t>crush</w:t>
            </w:r>
            <w:r>
              <w:rPr>
                <w:rFonts w:hint="eastAsia"/>
                <w:vertAlign w:val="baseline"/>
              </w:rPr>
              <w:t xml:space="preserve"> injury, the mice underwent epidural electrode implantation and subsequently received daily epidural electrical stimulation</w:t>
            </w:r>
          </w:p>
        </w:tc>
        <w:tc>
          <w:tcPr>
            <w:tcW w:w="1419" w:type="dxa"/>
          </w:tcPr>
          <w:p w14:paraId="392434E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20" w:type="dxa"/>
          </w:tcPr>
          <w:p w14:paraId="277B9B7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1:one animal experienced electrode detachment and damage</w:t>
            </w:r>
          </w:p>
        </w:tc>
        <w:tc>
          <w:tcPr>
            <w:tcW w:w="1420" w:type="dxa"/>
          </w:tcPr>
          <w:p w14:paraId="7AA9651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420" w:type="dxa"/>
          </w:tcPr>
          <w:p w14:paraId="33FE168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90%</w:t>
            </w:r>
          </w:p>
        </w:tc>
      </w:tr>
      <w:tr w14:paraId="5AB80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9" w:type="dxa"/>
          </w:tcPr>
          <w:p w14:paraId="6CC50F6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CT</w:t>
            </w:r>
          </w:p>
        </w:tc>
        <w:tc>
          <w:tcPr>
            <w:tcW w:w="1419" w:type="dxa"/>
          </w:tcPr>
          <w:p w14:paraId="5C8DBFA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Seven days post-</w:t>
            </w:r>
            <w:r>
              <w:rPr>
                <w:rFonts w:hint="eastAsia"/>
                <w:vertAlign w:val="baseline"/>
                <w:lang w:val="en-US" w:eastAsia="zh-CN"/>
              </w:rPr>
              <w:t>crush</w:t>
            </w:r>
            <w:r>
              <w:rPr>
                <w:rFonts w:hint="eastAsia"/>
                <w:vertAlign w:val="baseline"/>
              </w:rPr>
              <w:t xml:space="preserve"> injury, the mice underwent </w:t>
            </w:r>
            <w:r>
              <w:rPr>
                <w:rFonts w:hint="eastAsia"/>
                <w:vertAlign w:val="baseline"/>
                <w:lang w:val="en-US" w:eastAsia="zh-CN"/>
              </w:rPr>
              <w:t>hUCMSCs/NSCs cell transplantation</w:t>
            </w:r>
          </w:p>
        </w:tc>
        <w:tc>
          <w:tcPr>
            <w:tcW w:w="1419" w:type="dxa"/>
          </w:tcPr>
          <w:p w14:paraId="3308655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20" w:type="dxa"/>
          </w:tcPr>
          <w:p w14:paraId="6F565E6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none</w:t>
            </w:r>
          </w:p>
        </w:tc>
        <w:tc>
          <w:tcPr>
            <w:tcW w:w="1420" w:type="dxa"/>
          </w:tcPr>
          <w:p w14:paraId="0F5EFB9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20" w:type="dxa"/>
          </w:tcPr>
          <w:p w14:paraId="4EDA271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30D0C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9" w:type="dxa"/>
          </w:tcPr>
          <w:p w14:paraId="07EA578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Combination</w:t>
            </w:r>
          </w:p>
        </w:tc>
        <w:tc>
          <w:tcPr>
            <w:tcW w:w="1419" w:type="dxa"/>
          </w:tcPr>
          <w:p w14:paraId="74CC868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Seven days post-injury, the subjects underwent both epidural electrode implantation and stem cell transplantation. Following these procedures, they continued to receive daily electrical stimulation therapy.</w:t>
            </w:r>
          </w:p>
        </w:tc>
        <w:tc>
          <w:tcPr>
            <w:tcW w:w="1419" w:type="dxa"/>
          </w:tcPr>
          <w:p w14:paraId="49B8194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20" w:type="dxa"/>
          </w:tcPr>
          <w:p w14:paraId="23289B1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none</w:t>
            </w:r>
          </w:p>
        </w:tc>
        <w:tc>
          <w:tcPr>
            <w:tcW w:w="1420" w:type="dxa"/>
          </w:tcPr>
          <w:p w14:paraId="2B920E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20" w:type="dxa"/>
          </w:tcPr>
          <w:p w14:paraId="4CAC345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</w:tbl>
    <w:p w14:paraId="5EA827E7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iM2NiZjZhM2MxNDliN2NkZGFlYzdkM2Y2MTZjNzUifQ=="/>
  </w:docVars>
  <w:rsids>
    <w:rsidRoot w:val="00CC79BC"/>
    <w:rsid w:val="00CC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2024-08-14T12:51:00Z</dcterms:created>
  <dc:creator>周密</dc:creator>
  <cp:lastModifiedBy>周密</cp:lastModifiedBy>
  <dcterms:modified xsi:type="dcterms:W3CDTF">2024-08-14T13:24:23Z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5C91DD93413C4958BE147FDC3FCC4C4A_11</vt:lpwstr>
  </property>
</Properties>
</file>