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DD5C3">
      <w:pPr>
        <w:overflowPunct w:val="0"/>
        <w:jc w:val="left"/>
        <w:rPr>
          <w:rFonts w:hint="default" w:eastAsia="Times New Roman" w:cs="Times New Roman" w:asciiTheme="minorAscii" w:hAnsiTheme="minorAscii"/>
          <w:bCs/>
          <w:szCs w:val="21"/>
        </w:rPr>
      </w:pPr>
      <w:r>
        <w:rPr>
          <w:rFonts w:hint="default" w:eastAsia="Times New Roman" w:cs="Times New Roman" w:asciiTheme="minorAscii" w:hAnsiTheme="minorAscii"/>
          <w:bCs/>
          <w:szCs w:val="21"/>
        </w:rPr>
        <w:t>Supplementary Table 1. Norm</w:t>
      </w:r>
      <w:bookmarkStart w:id="0" w:name="_GoBack"/>
      <w:bookmarkEnd w:id="0"/>
      <w:r>
        <w:rPr>
          <w:rFonts w:hint="default" w:eastAsia="Times New Roman" w:cs="Times New Roman" w:asciiTheme="minorAscii" w:hAnsiTheme="minorAscii"/>
          <w:bCs/>
          <w:szCs w:val="21"/>
        </w:rPr>
        <w:t>ality Tests for Continuous Variables</w:t>
      </w:r>
    </w:p>
    <w:tbl>
      <w:tblPr>
        <w:tblStyle w:val="2"/>
        <w:tblW w:w="811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7"/>
        <w:gridCol w:w="1904"/>
        <w:gridCol w:w="2250"/>
      </w:tblGrid>
      <w:tr w14:paraId="133137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3957" w:type="dxa"/>
            <w:tcBorders>
              <w:top w:val="single" w:color="EC6881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07DC29A8">
            <w:pPr>
              <w:overflowPunct w:val="0"/>
              <w:jc w:val="center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</w:p>
          <w:p w14:paraId="0E9D9FCE">
            <w:pPr>
              <w:overflowPunct w:val="0"/>
              <w:jc w:val="center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</w:p>
          <w:p w14:paraId="359BAD6A">
            <w:pPr>
              <w:overflowPunct w:val="0"/>
              <w:jc w:val="center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</w:p>
          <w:p w14:paraId="0D5CE144">
            <w:pPr>
              <w:overflowPunct w:val="0"/>
              <w:jc w:val="center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</w:p>
        </w:tc>
        <w:tc>
          <w:tcPr>
            <w:tcW w:w="1904" w:type="dxa"/>
            <w:tcBorders>
              <w:top w:val="single" w:color="EC6881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5650B02F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All patients</w:t>
            </w:r>
          </w:p>
          <w:p w14:paraId="6B2028E4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(n=406)</w:t>
            </w:r>
          </w:p>
        </w:tc>
        <w:tc>
          <w:tcPr>
            <w:tcW w:w="2250" w:type="dxa"/>
            <w:tcBorders>
              <w:top w:val="single" w:color="EC6881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1C1745B5">
            <w:pPr>
              <w:overflowPunct w:val="0"/>
              <w:rPr>
                <w:rFonts w:hint="default" w:eastAsia="宋体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Kolmogorov-Smirnova</w:t>
            </w:r>
            <w:r>
              <w:rPr>
                <w:rFonts w:hint="default" w:eastAsia="宋体" w:cs="Times New Roman" w:asciiTheme="minorAscii" w:hAnsiTheme="minorAscii"/>
                <w:bCs/>
                <w:szCs w:val="21"/>
              </w:rPr>
              <w:t xml:space="preserve"> P value</w:t>
            </w:r>
          </w:p>
        </w:tc>
      </w:tr>
      <w:tr w14:paraId="5CFB57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09F4E864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Age (years),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3D06E8FB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76</w:t>
            </w:r>
            <w:r>
              <w:rPr>
                <w:rFonts w:hint="default" w:eastAsia="宋体" w:cs="Times New Roman" w:asciiTheme="minorAscii" w:hAnsiTheme="minorAscii"/>
                <w:szCs w:val="21"/>
                <w:lang w:val="en-US" w:eastAsia="zh-CN"/>
              </w:rPr>
              <w:t>(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66.75-85)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76A1A1FC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0.003</w:t>
            </w:r>
          </w:p>
        </w:tc>
      </w:tr>
      <w:tr w14:paraId="0A92EC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19427F1B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Number of comorbidities,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6A914200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1(0-2)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472EA994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55AA7C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3DEF6125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Days from the onset to admission</w:t>
            </w:r>
            <w:r>
              <w:rPr>
                <w:rFonts w:hint="default" w:eastAsia="宋体" w:cs="Times New Roman" w:asciiTheme="minorAscii" w:hAnsiTheme="minorAscii"/>
                <w:bCs/>
                <w:szCs w:val="21"/>
              </w:rPr>
              <w:t>,</w:t>
            </w: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 xml:space="preserve">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141F077D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7(4-10)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0FD90748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376BD2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108CD243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PaFi</w:t>
            </w:r>
            <w:r>
              <w:rPr>
                <w:rFonts w:hint="default" w:eastAsia="宋体" w:cs="Times New Roman" w:asciiTheme="minorAscii" w:hAnsiTheme="minorAscii"/>
                <w:bCs/>
                <w:szCs w:val="21"/>
              </w:rPr>
              <w:t xml:space="preserve"> ratio</w:t>
            </w: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082C5730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231(180-289)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4BCB695D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6CF4AE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41CFC7CE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Blood analysis at admission,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7531942F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36141AA4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</w:p>
        </w:tc>
      </w:tr>
      <w:tr w14:paraId="37C86F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507A4C4E">
            <w:pPr>
              <w:overflowPunct w:val="0"/>
              <w:ind w:firstLine="210" w:firstLineChars="10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N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eutrophil count(×10</w:t>
            </w:r>
            <w:r>
              <w:rPr>
                <w:rFonts w:hint="default" w:eastAsia="Times New Roman" w:cs="Times New Roman" w:asciiTheme="minorAscii" w:hAnsiTheme="minorAscii"/>
                <w:szCs w:val="21"/>
                <w:vertAlign w:val="superscript"/>
              </w:rPr>
              <w:t>9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/L)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124D051C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6.00(3.61-8.44)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1AF7F1CF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0.012</w:t>
            </w:r>
          </w:p>
        </w:tc>
      </w:tr>
      <w:tr w14:paraId="2319E0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36AED571">
            <w:pPr>
              <w:overflowPunct w:val="0"/>
              <w:ind w:firstLine="210" w:firstLineChars="10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Lymphocytes</w:t>
            </w:r>
            <w:r>
              <w:rPr>
                <w:rFonts w:hint="default" w:eastAsia="宋体" w:cs="Times New Roman" w:asciiTheme="minorAscii" w:hAnsiTheme="minorAscii"/>
                <w:szCs w:val="21"/>
              </w:rPr>
              <w:t xml:space="preserve"> 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count(×10</w:t>
            </w:r>
            <w:r>
              <w:rPr>
                <w:rFonts w:hint="default" w:eastAsia="Times New Roman" w:cs="Times New Roman" w:asciiTheme="minorAscii" w:hAnsiTheme="minorAscii"/>
                <w:szCs w:val="21"/>
                <w:vertAlign w:val="superscript"/>
              </w:rPr>
              <w:t>9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/L)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3AD8B25B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0.65(0.44-1.03)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5E7F3398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0DF2D6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00F3820E">
            <w:pPr>
              <w:overflowPunct w:val="0"/>
              <w:ind w:firstLine="210" w:firstLineChars="10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Platelets count(×10</w:t>
            </w:r>
            <w:r>
              <w:rPr>
                <w:rFonts w:hint="default" w:eastAsia="Times New Roman" w:cs="Times New Roman" w:asciiTheme="minorAscii" w:hAnsiTheme="minorAscii"/>
                <w:szCs w:val="21"/>
                <w:vertAlign w:val="superscript"/>
              </w:rPr>
              <w:t>9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/L)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0AACC5B9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158(118.25-217.75)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5680DE4F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718E8B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73F73986">
            <w:pPr>
              <w:overflowPunct w:val="0"/>
              <w:ind w:firstLine="210" w:firstLineChars="10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C-Reactive protein(mg/L)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0458ABE5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44.68(9.14-90.00)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6F9948D9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6A73BA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113DAC08">
            <w:pPr>
              <w:overflowPunct w:val="0"/>
              <w:ind w:firstLine="210" w:firstLineChars="10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Procalcitonin(ng/L)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272B0C20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0.21(0.08-1.19)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4ECF3A0A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5CE07C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7412AAD6">
            <w:pPr>
              <w:overflowPunct w:val="0"/>
              <w:ind w:firstLine="210" w:firstLineChars="10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D-dimer(mg/L)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5BE3CBB6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1.19(0.75-3.44)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1C964AB7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5551AA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34600441">
            <w:pPr>
              <w:overflowPunct w:val="0"/>
              <w:rPr>
                <w:rFonts w:hint="default" w:eastAsia="Times New Roman" w:cs="Times New Roman" w:asciiTheme="minorAscii" w:hAnsiTheme="minorAscii"/>
                <w:bCs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bCs/>
                <w:szCs w:val="21"/>
              </w:rPr>
              <w:t>PII (%),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52745DFA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40(30-60)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64161D3E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0.005</w:t>
            </w:r>
          </w:p>
        </w:tc>
      </w:tr>
      <w:tr w14:paraId="7CBDA3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61E7B496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Dosage(mg/d),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2A9D1043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40(40-75)</w:t>
            </w:r>
            <w:r>
              <w:rPr>
                <w:rFonts w:hint="default" w:eastAsia="宋体" w:cs="Times New Roman" w:asciiTheme="minorAscii" w:hAnsiTheme="minorAscii"/>
                <w:szCs w:val="21"/>
              </w:rPr>
              <w:tab/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7605EA0A">
            <w:pPr>
              <w:overflowPunct w:val="0"/>
              <w:rPr>
                <w:rFonts w:hint="default" w:eastAsia="宋体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6E4BA8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472CC1FC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Duration of corticosteroid treatment(days),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279DEB7B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6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(</w:t>
            </w:r>
            <w:r>
              <w:rPr>
                <w:rFonts w:hint="default" w:eastAsia="宋体" w:cs="Times New Roman" w:asciiTheme="minorAscii" w:hAnsiTheme="minorAscii"/>
                <w:szCs w:val="21"/>
              </w:rPr>
              <w:t>4-8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FBDFE4" w:sz="0" w:space="0"/>
              <w:right w:val="single" w:color="FBDFE4" w:sz="0" w:space="0"/>
            </w:tcBorders>
            <w:shd w:val="clear" w:color="auto" w:fill="FFFFFF"/>
            <w:vAlign w:val="center"/>
          </w:tcPr>
          <w:p w14:paraId="62FE2CE9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  <w:tr w14:paraId="4E848B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3957" w:type="dxa"/>
            <w:tcBorders>
              <w:top w:val="single" w:color="FBDFE4" w:sz="0" w:space="0"/>
              <w:left w:val="single" w:color="FFFFFF" w:sz="0" w:space="0"/>
              <w:bottom w:val="single" w:color="EC6881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2AE50EF7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Times New Roman" w:cs="Times New Roman" w:asciiTheme="minorAscii" w:hAnsiTheme="minorAscii"/>
                <w:szCs w:val="21"/>
              </w:rPr>
              <w:t>Survival time in 28 days</w:t>
            </w:r>
            <w:r>
              <w:rPr>
                <w:rFonts w:hint="default" w:eastAsia="宋体" w:cs="Times New Roman" w:asciiTheme="minorAscii" w:hAnsiTheme="minorAscii"/>
                <w:szCs w:val="21"/>
              </w:rPr>
              <w:t xml:space="preserve"> of dead patients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, median (IQR)</w:t>
            </w:r>
          </w:p>
        </w:tc>
        <w:tc>
          <w:tcPr>
            <w:tcW w:w="1904" w:type="dxa"/>
            <w:tcBorders>
              <w:top w:val="single" w:color="FBDFE4" w:sz="0" w:space="0"/>
              <w:left w:val="single" w:color="FBDFE4" w:sz="0" w:space="0"/>
              <w:bottom w:val="single" w:color="EC6881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4D435189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28(11-28</w:t>
            </w:r>
            <w:r>
              <w:rPr>
                <w:rFonts w:hint="default" w:eastAsia="Times New Roman" w:cs="Times New Roman" w:asciiTheme="minorAscii" w:hAnsiTheme="minorAscii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color="FBDFE4" w:sz="0" w:space="0"/>
              <w:left w:val="single" w:color="FBDFE4" w:sz="0" w:space="0"/>
              <w:bottom w:val="single" w:color="EC6881" w:sz="0" w:space="0"/>
              <w:right w:val="single" w:color="FBDFE4" w:sz="0" w:space="0"/>
            </w:tcBorders>
            <w:shd w:val="clear" w:color="auto" w:fill="FFF8FA"/>
            <w:vAlign w:val="center"/>
          </w:tcPr>
          <w:p w14:paraId="18CC8A78">
            <w:pPr>
              <w:overflowPunct w:val="0"/>
              <w:rPr>
                <w:rFonts w:hint="default" w:eastAsia="Times New Roman" w:cs="Times New Roman" w:asciiTheme="minorAscii" w:hAnsiTheme="minorAscii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szCs w:val="21"/>
              </w:rPr>
              <w:t>0.000</w:t>
            </w:r>
          </w:p>
        </w:tc>
      </w:tr>
    </w:tbl>
    <w:p w14:paraId="5CF663E7">
      <w:pPr>
        <w:rPr>
          <w:rFonts w:hint="default" w:asciiTheme="minorAscii" w:hAnsiTheme="minorAscii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5NGViZGQxNzZjYTc0NDNmNDJmNGRiMzc1Yjg3NmUifQ=="/>
  </w:docVars>
  <w:rsids>
    <w:rsidRoot w:val="6D4C036C"/>
    <w:rsid w:val="6D4C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2024-09-12T03:04:00Z</dcterms:created>
  <dc:creator>ZHUANG</dc:creator>
  <cp:lastModifiedBy>ZHUANG</cp:lastModifiedBy>
  <dcterms:modified xsi:type="dcterms:W3CDTF">2024-09-12T03:18:45Z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73E0755DB06442A4BD9C91B6433CBE86_11</vt:lpwstr>
  </property>
</Properties>
</file>