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6B1F" w:rsidRDefault="00000000">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rsidR="00A76B1F" w:rsidRDefault="00A76B1F">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25"/>
        <w:gridCol w:w="720"/>
        <w:gridCol w:w="4336"/>
      </w:tblGrid>
      <w:tr w:rsidR="00A76B1F">
        <w:tc>
          <w:tcPr>
            <w:tcW w:w="587" w:type="dxa"/>
            <w:tcBorders>
              <w:top w:val="single" w:sz="4" w:space="0" w:color="auto"/>
              <w:bottom w:val="single" w:sz="6" w:space="0" w:color="7F7F7F"/>
            </w:tcBorders>
            <w:shd w:val="clear" w:color="auto" w:fill="auto"/>
          </w:tcPr>
          <w:p w:rsidR="00A76B1F" w:rsidRDefault="00000000">
            <w:pPr>
              <w:spacing w:beforeLines="40" w:before="96" w:afterLines="40" w:after="96" w:line="24" w:lineRule="atLeast"/>
              <w:rPr>
                <w:rFonts w:eastAsia="Cambria"/>
                <w:b/>
                <w:bCs/>
                <w:sz w:val="18"/>
                <w:szCs w:val="18"/>
                <w:lang w:val="en-GB" w:eastAsia="en-US"/>
              </w:rPr>
            </w:pPr>
            <w:r>
              <w:rPr>
                <w:rFonts w:eastAsia="Cambria" w:hint="eastAsia"/>
                <w:b/>
                <w:bCs/>
                <w:sz w:val="18"/>
                <w:szCs w:val="18"/>
                <w:lang w:val="en-GB" w:eastAsia="en-US"/>
              </w:rPr>
              <w:t>Item No.</w:t>
            </w:r>
          </w:p>
        </w:tc>
        <w:tc>
          <w:tcPr>
            <w:tcW w:w="1822" w:type="dxa"/>
            <w:tcBorders>
              <w:top w:val="single" w:sz="4" w:space="0" w:color="auto"/>
              <w:bottom w:val="single" w:sz="6" w:space="0" w:color="7F7F7F"/>
            </w:tcBorders>
            <w:shd w:val="clear" w:color="auto" w:fill="auto"/>
          </w:tcPr>
          <w:p w:rsidR="00A76B1F" w:rsidRDefault="00000000">
            <w:pPr>
              <w:spacing w:beforeLines="40" w:before="96" w:afterLines="40" w:after="96" w:line="24" w:lineRule="atLeast"/>
              <w:rPr>
                <w:rFonts w:eastAsia="Cambria"/>
                <w:b/>
                <w:bCs/>
                <w:sz w:val="18"/>
                <w:szCs w:val="18"/>
                <w:lang w:val="en-GB" w:eastAsia="en-US"/>
              </w:rPr>
            </w:pPr>
            <w:r>
              <w:rPr>
                <w:rFonts w:eastAsia="Cambria" w:hint="eastAsia"/>
                <w:b/>
                <w:bCs/>
                <w:sz w:val="18"/>
                <w:szCs w:val="18"/>
                <w:lang w:val="en-GB" w:eastAsia="en-US"/>
              </w:rPr>
              <w:t>Section</w:t>
            </w:r>
          </w:p>
        </w:tc>
        <w:tc>
          <w:tcPr>
            <w:tcW w:w="7025" w:type="dxa"/>
            <w:tcBorders>
              <w:top w:val="single" w:sz="4" w:space="0" w:color="auto"/>
              <w:bottom w:val="single" w:sz="6" w:space="0" w:color="7F7F7F"/>
            </w:tcBorders>
            <w:shd w:val="clear" w:color="auto" w:fill="auto"/>
          </w:tcPr>
          <w:p w:rsidR="00A76B1F" w:rsidRDefault="00000000">
            <w:pPr>
              <w:spacing w:beforeLines="40" w:before="96" w:afterLines="40" w:after="96" w:line="24" w:lineRule="atLeast"/>
              <w:rPr>
                <w:rFonts w:eastAsia="Cambria"/>
                <w:b/>
                <w:bCs/>
                <w:sz w:val="18"/>
                <w:szCs w:val="18"/>
                <w:lang w:val="en-GB" w:eastAsia="en-US"/>
              </w:rPr>
            </w:pPr>
            <w:r>
              <w:rPr>
                <w:rFonts w:eastAsia="Cambria" w:hint="eastAsia"/>
                <w:b/>
                <w:bCs/>
                <w:sz w:val="18"/>
                <w:szCs w:val="18"/>
                <w:lang w:val="en-GB" w:eastAsia="en-US"/>
              </w:rPr>
              <w:t xml:space="preserve">Checklist item </w:t>
            </w:r>
          </w:p>
        </w:tc>
        <w:tc>
          <w:tcPr>
            <w:tcW w:w="720" w:type="dxa"/>
            <w:tcBorders>
              <w:top w:val="single" w:sz="4" w:space="0" w:color="auto"/>
              <w:bottom w:val="single" w:sz="6" w:space="0" w:color="7F7F7F"/>
            </w:tcBorders>
          </w:tcPr>
          <w:p w:rsidR="00A76B1F" w:rsidRDefault="00000000">
            <w:pPr>
              <w:spacing w:beforeLines="40" w:before="96" w:afterLines="40" w:after="96" w:line="24" w:lineRule="atLeast"/>
              <w:rPr>
                <w:rFonts w:eastAsia="Cambria"/>
                <w:b/>
                <w:bCs/>
                <w:sz w:val="18"/>
                <w:szCs w:val="18"/>
                <w:lang w:val="en-GB" w:eastAsia="en-US"/>
              </w:rPr>
            </w:pPr>
            <w:r>
              <w:rPr>
                <w:rFonts w:eastAsia="Cambria" w:hint="eastAsia"/>
                <w:b/>
                <w:bCs/>
                <w:sz w:val="18"/>
                <w:szCs w:val="18"/>
                <w:lang w:val="en-GB" w:eastAsia="en-US"/>
              </w:rPr>
              <w:t>Page No.</w:t>
            </w:r>
          </w:p>
        </w:tc>
        <w:tc>
          <w:tcPr>
            <w:tcW w:w="4336" w:type="dxa"/>
            <w:tcBorders>
              <w:top w:val="single" w:sz="4" w:space="0" w:color="auto"/>
              <w:bottom w:val="single" w:sz="6" w:space="0" w:color="7F7F7F"/>
            </w:tcBorders>
          </w:tcPr>
          <w:p w:rsidR="00A76B1F" w:rsidRDefault="00000000">
            <w:pPr>
              <w:spacing w:beforeLines="40" w:before="96" w:afterLines="40" w:after="96" w:line="24" w:lineRule="atLeast"/>
              <w:rPr>
                <w:rFonts w:eastAsia="Cambria"/>
                <w:b/>
                <w:bCs/>
                <w:sz w:val="18"/>
                <w:szCs w:val="18"/>
                <w:lang w:val="en-GB" w:eastAsia="en-US"/>
              </w:rPr>
            </w:pPr>
            <w:r>
              <w:rPr>
                <w:rFonts w:eastAsia="Cambria" w:hint="eastAsia"/>
                <w:b/>
                <w:bCs/>
                <w:sz w:val="18"/>
                <w:szCs w:val="18"/>
                <w:lang w:val="en-GB" w:eastAsia="en-US"/>
              </w:rPr>
              <w:t>Relevant text from manuscript</w:t>
            </w:r>
          </w:p>
        </w:tc>
      </w:tr>
      <w:tr w:rsidR="00A76B1F">
        <w:tc>
          <w:tcPr>
            <w:tcW w:w="587" w:type="dxa"/>
            <w:tcBorders>
              <w:top w:val="single" w:sz="6" w:space="0" w:color="7F7F7F"/>
              <w:bottom w:val="single" w:sz="6" w:space="0" w:color="7F7F7F"/>
            </w:tcBorders>
            <w:shd w:val="clear" w:color="auto" w:fill="EEEEEE"/>
          </w:tcPr>
          <w:p w:rsidR="00A76B1F" w:rsidRDefault="00000000">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1</w:t>
            </w:r>
          </w:p>
        </w:tc>
        <w:tc>
          <w:tcPr>
            <w:tcW w:w="1822" w:type="dxa"/>
            <w:tcBorders>
              <w:top w:val="single" w:sz="6" w:space="0" w:color="7F7F7F"/>
              <w:bottom w:val="single" w:sz="6" w:space="0" w:color="7F7F7F"/>
            </w:tcBorders>
            <w:shd w:val="clear" w:color="auto" w:fill="EEEEEE"/>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TITLE and ABSTRACT</w:t>
            </w:r>
          </w:p>
        </w:tc>
        <w:tc>
          <w:tcPr>
            <w:tcW w:w="7025" w:type="dxa"/>
            <w:tcBorders>
              <w:top w:val="single" w:sz="6" w:space="0" w:color="7F7F7F"/>
              <w:bottom w:val="single" w:sz="6" w:space="0" w:color="7F7F7F"/>
            </w:tcBorders>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Indicate Mendelian randomization (MR) as the study’s design in the title and/or the abstract if that is a main purpose of the study</w:t>
            </w:r>
          </w:p>
        </w:tc>
        <w:tc>
          <w:tcPr>
            <w:tcW w:w="720" w:type="dxa"/>
            <w:tcBorders>
              <w:top w:val="single" w:sz="6" w:space="0" w:color="7F7F7F"/>
              <w:bottom w:val="single" w:sz="6" w:space="0" w:color="7F7F7F"/>
            </w:tcBorders>
            <w:shd w:val="clear" w:color="auto" w:fill="EEEEEE"/>
          </w:tcPr>
          <w:p w:rsidR="00A76B1F" w:rsidRDefault="00000000">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1-2</w:t>
            </w:r>
          </w:p>
        </w:tc>
        <w:tc>
          <w:tcPr>
            <w:tcW w:w="4336" w:type="dxa"/>
            <w:tcBorders>
              <w:top w:val="single" w:sz="6" w:space="0" w:color="7F7F7F"/>
              <w:bottom w:val="single" w:sz="6" w:space="0" w:color="7F7F7F"/>
            </w:tcBorders>
            <w:shd w:val="clear" w:color="auto" w:fill="EEEEEE"/>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The association of prostatitis with prostate cancer risk: a Mendelian randomized study</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 In our endeavor to scrutinize the conceivable causal nexus between prostatitis and PCa, we embarked upon a Mendelian randomization study (MR).</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FinGen Consortium data were used for the prostatitis genome-wide association study (GWAS). UK biobank baseline data, European Bioinformatics Institute Database, and IEU openGWAS database were used for PCa outcomes. Data from the GWAS for prostatitis were compared with data from the three GWAS for PCa, respectively, in an analysis of an MR. Utilizing the inverse variance weighting (IVW) methodology as our primary analytical framework, we delved into a meticulous exploration of the conceivable causal association between prostatitis and PCa. Furthermore, we deployed supplementary methodologies, including Maximum Likelihood, MR-Egger, weighted median, and MR-PRESSO, to thoroughly assess and scrutinize the causality aspect comprehensively. Cochran's Q statistic is employed as a metric to quantify the heterogeneity inherent in instrumental variables.</w:t>
            </w:r>
          </w:p>
        </w:tc>
      </w:tr>
      <w:tr w:rsidR="00A76B1F">
        <w:tc>
          <w:tcPr>
            <w:tcW w:w="587" w:type="dxa"/>
            <w:tcBorders>
              <w:top w:val="single" w:sz="6" w:space="0" w:color="7F7F7F"/>
            </w:tcBorders>
            <w:shd w:val="clear" w:color="auto" w:fill="auto"/>
          </w:tcPr>
          <w:p w:rsidR="00A76B1F" w:rsidRDefault="00A76B1F">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INTRODUCTION</w:t>
            </w:r>
          </w:p>
        </w:tc>
        <w:tc>
          <w:tcPr>
            <w:tcW w:w="7025" w:type="dxa"/>
            <w:tcBorders>
              <w:top w:val="single" w:sz="6" w:space="0" w:color="7F7F7F"/>
            </w:tcBorders>
            <w:shd w:val="clear" w:color="auto" w:fill="auto"/>
          </w:tcPr>
          <w:p w:rsidR="00A76B1F" w:rsidRDefault="00A76B1F">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rsidR="00A76B1F" w:rsidRDefault="00A76B1F">
            <w:pPr>
              <w:spacing w:beforeLines="40" w:before="96" w:afterLines="40" w:after="96" w:line="24" w:lineRule="atLeast"/>
              <w:rPr>
                <w:rFonts w:eastAsia="Cambria"/>
                <w:sz w:val="18"/>
                <w:szCs w:val="18"/>
                <w:lang w:val="en-GB" w:eastAsia="en-US"/>
              </w:rPr>
            </w:pPr>
          </w:p>
        </w:tc>
        <w:tc>
          <w:tcPr>
            <w:tcW w:w="4336" w:type="dxa"/>
            <w:tcBorders>
              <w:top w:val="single" w:sz="6" w:space="0" w:color="7F7F7F"/>
            </w:tcBorders>
          </w:tcPr>
          <w:p w:rsidR="00A76B1F" w:rsidRDefault="00A76B1F">
            <w:pPr>
              <w:spacing w:beforeLines="40" w:before="96" w:afterLines="40" w:after="96" w:line="24" w:lineRule="atLeast"/>
              <w:rPr>
                <w:rFonts w:eastAsia="Cambria"/>
                <w:sz w:val="18"/>
                <w:szCs w:val="18"/>
                <w:lang w:val="en-GB" w:eastAsia="en-US"/>
              </w:rPr>
            </w:pPr>
          </w:p>
        </w:tc>
      </w:tr>
      <w:tr w:rsidR="00A76B1F">
        <w:tc>
          <w:tcPr>
            <w:tcW w:w="587" w:type="dxa"/>
            <w:shd w:val="clear" w:color="auto" w:fill="EEEEEE"/>
          </w:tcPr>
          <w:p w:rsidR="00A76B1F" w:rsidRDefault="00000000">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2</w:t>
            </w:r>
          </w:p>
        </w:tc>
        <w:tc>
          <w:tcPr>
            <w:tcW w:w="1822" w:type="dxa"/>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Background</w:t>
            </w:r>
          </w:p>
        </w:tc>
        <w:tc>
          <w:tcPr>
            <w:tcW w:w="7025" w:type="dxa"/>
            <w:shd w:val="clear" w:color="auto" w:fill="EEEEEE"/>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Explain the scientific background and rationale for the reported study. What is the </w:t>
            </w:r>
            <w:bookmarkStart w:id="0" w:name="OLE_LINK782"/>
            <w:bookmarkStart w:id="1" w:name="OLE_LINK783"/>
            <w:r>
              <w:rPr>
                <w:rFonts w:eastAsia="Times New Roman" w:hint="eastAsia"/>
                <w:sz w:val="18"/>
                <w:szCs w:val="18"/>
                <w:lang w:val="en-GB" w:eastAsia="en-GB"/>
              </w:rPr>
              <w:t>exposure</w:t>
            </w:r>
            <w:bookmarkEnd w:id="0"/>
            <w:bookmarkEnd w:id="1"/>
            <w:r>
              <w:rPr>
                <w:rFonts w:eastAsia="Times New Roman" w:hint="eastAsia"/>
                <w:sz w:val="18"/>
                <w:szCs w:val="18"/>
                <w:lang w:val="en-GB" w:eastAsia="en-GB"/>
              </w:rPr>
              <w:t>? Is a potential causal relationship between exposure and outcome plausible? Justify why MR is a helpful method to address the study question</w:t>
            </w:r>
          </w:p>
        </w:tc>
        <w:tc>
          <w:tcPr>
            <w:tcW w:w="720" w:type="dxa"/>
            <w:shd w:val="clear" w:color="auto" w:fill="EEEEEE"/>
          </w:tcPr>
          <w:p w:rsidR="00A76B1F" w:rsidRDefault="00000000">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3</w:t>
            </w:r>
          </w:p>
        </w:tc>
        <w:tc>
          <w:tcPr>
            <w:tcW w:w="4336" w:type="dxa"/>
            <w:shd w:val="clear" w:color="auto" w:fill="EEEEEE"/>
          </w:tcPr>
          <w:p w:rsidR="00A76B1F" w:rsidRDefault="00351A4D">
            <w:pPr>
              <w:spacing w:beforeLines="40" w:before="96" w:afterLines="40" w:after="96" w:line="24" w:lineRule="atLeast"/>
              <w:rPr>
                <w:rFonts w:eastAsia="Times New Roman"/>
                <w:sz w:val="18"/>
                <w:szCs w:val="18"/>
                <w:lang w:val="en-GB" w:eastAsia="en-GB"/>
              </w:rPr>
            </w:pPr>
            <w:r>
              <w:rPr>
                <w:rFonts w:eastAsia="宋体" w:hint="eastAsia"/>
                <w:sz w:val="18"/>
                <w:szCs w:val="18"/>
                <w:lang w:val="en-US" w:eastAsia="zh-CN"/>
              </w:rPr>
              <w:t>The</w:t>
            </w:r>
            <w:r>
              <w:rPr>
                <w:rFonts w:eastAsia="宋体"/>
                <w:sz w:val="18"/>
                <w:szCs w:val="18"/>
                <w:lang w:val="en-US" w:eastAsia="zh-CN"/>
              </w:rPr>
              <w:t xml:space="preserve"> </w:t>
            </w:r>
            <w:r>
              <w:rPr>
                <w:rFonts w:eastAsia="Times New Roman"/>
                <w:sz w:val="18"/>
                <w:szCs w:val="18"/>
                <w:lang w:val="en-GB" w:eastAsia="en-GB"/>
              </w:rPr>
              <w:t>exposure</w:t>
            </w:r>
            <w:r>
              <w:rPr>
                <w:rFonts w:eastAsia="宋体" w:hint="eastAsia"/>
                <w:sz w:val="18"/>
                <w:szCs w:val="18"/>
                <w:lang w:val="en-US" w:eastAsia="zh-CN"/>
              </w:rPr>
              <w:t xml:space="preserve"> </w:t>
            </w:r>
            <w:r>
              <w:rPr>
                <w:rFonts w:eastAsia="宋体"/>
                <w:sz w:val="18"/>
                <w:szCs w:val="18"/>
                <w:lang w:val="en-US" w:eastAsia="zh-CN"/>
              </w:rPr>
              <w:t xml:space="preserve">is </w:t>
            </w:r>
            <w:r w:rsidR="00000000">
              <w:rPr>
                <w:rFonts w:eastAsia="宋体" w:hint="eastAsia"/>
                <w:sz w:val="18"/>
                <w:szCs w:val="18"/>
                <w:lang w:val="en-US" w:eastAsia="zh-CN"/>
              </w:rPr>
              <w:t>prostatitis</w:t>
            </w:r>
            <w:r>
              <w:rPr>
                <w:rFonts w:eastAsia="宋体"/>
                <w:sz w:val="18"/>
                <w:szCs w:val="18"/>
                <w:lang w:val="en-US" w:eastAsia="zh-CN"/>
              </w:rPr>
              <w:t>.</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In the intricate process of tumorigenesis, inflammation assumes a pivotal role, orchestrating diverse pathways that intricately mediate the progression of tumors. For instance, infiltration of macrophages and T cells has been identified as key elements in this context5. In the context of prostatitis, the onset of this ailment progressively rises with advancing age, and it has been demonstrated that T-cell infiltration is present in chronic prostatitis6.  In a review article, data suggest that chronic inflammation leads to PCa; for example, Within the realm of epidemiological </w:t>
            </w:r>
            <w:r>
              <w:rPr>
                <w:rFonts w:eastAsia="Times New Roman" w:hint="eastAsia"/>
                <w:sz w:val="18"/>
                <w:szCs w:val="18"/>
                <w:lang w:val="en-GB" w:eastAsia="en-GB"/>
              </w:rPr>
              <w:lastRenderedPageBreak/>
              <w:t>investigations, the prolonged utilization of nonsteroidal anti-inflammatory drugs has demonstrated efficacy in hindering the progression of PCa. This implies that chronic prostatitis is a risk factor for PCa8–10</w:t>
            </w:r>
          </w:p>
          <w:p w:rsidR="00A76B1F" w:rsidRDefault="00A76B1F">
            <w:pPr>
              <w:spacing w:beforeLines="40" w:before="96" w:afterLines="40" w:after="96" w:line="24" w:lineRule="atLeast"/>
              <w:rPr>
                <w:rFonts w:eastAsia="Times New Roman"/>
                <w:sz w:val="18"/>
                <w:szCs w:val="18"/>
                <w:lang w:val="en-GB" w:eastAsia="en-GB"/>
              </w:rPr>
            </w:pP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This study can effectively eliminate other risk factors for the disease, thus more precisely exploring the potential risk between prostatitis and PCa.</w:t>
            </w:r>
          </w:p>
          <w:p w:rsidR="00A76B1F" w:rsidRDefault="00A76B1F">
            <w:pPr>
              <w:spacing w:beforeLines="40" w:before="96" w:afterLines="40" w:after="96" w:line="24" w:lineRule="atLeast"/>
              <w:rPr>
                <w:rFonts w:eastAsia="Times New Roman"/>
                <w:sz w:val="18"/>
                <w:szCs w:val="18"/>
                <w:lang w:val="en-GB" w:eastAsia="en-GB"/>
              </w:rPr>
            </w:pPr>
          </w:p>
        </w:tc>
      </w:tr>
      <w:tr w:rsidR="00A76B1F">
        <w:tc>
          <w:tcPr>
            <w:tcW w:w="587" w:type="dxa"/>
            <w:tcBorders>
              <w:bottom w:val="single" w:sz="6" w:space="0" w:color="7F7F7F"/>
            </w:tcBorders>
            <w:shd w:val="clear" w:color="auto" w:fill="auto"/>
          </w:tcPr>
          <w:p w:rsidR="00A76B1F" w:rsidRDefault="00000000">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lastRenderedPageBreak/>
              <w:t>3</w:t>
            </w:r>
          </w:p>
        </w:tc>
        <w:tc>
          <w:tcPr>
            <w:tcW w:w="1822" w:type="dxa"/>
            <w:tcBorders>
              <w:bottom w:val="single" w:sz="6" w:space="0" w:color="7F7F7F"/>
            </w:tcBorders>
            <w:shd w:val="clear" w:color="auto" w:fill="auto"/>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Objectives</w:t>
            </w:r>
          </w:p>
        </w:tc>
        <w:tc>
          <w:tcPr>
            <w:tcW w:w="7025" w:type="dxa"/>
            <w:tcBorders>
              <w:bottom w:val="single" w:sz="6" w:space="0" w:color="7F7F7F"/>
            </w:tcBorders>
            <w:shd w:val="clear" w:color="auto" w:fill="auto"/>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rsidR="00A76B1F" w:rsidRDefault="00000000">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3</w:t>
            </w:r>
          </w:p>
        </w:tc>
        <w:tc>
          <w:tcPr>
            <w:tcW w:w="4336" w:type="dxa"/>
            <w:tcBorders>
              <w:bottom w:val="single" w:sz="6" w:space="0" w:color="7F7F7F"/>
            </w:tcBorders>
          </w:tcPr>
          <w:p w:rsidR="00A76B1F" w:rsidRDefault="00000000">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In our pursuit to unravel the causal connection between these two ailments, a MR was executed. This study can effectively eliminate other risk factors for the disease, thus more precisely exploring the potential risk between prostatitis and PCa.</w:t>
            </w:r>
          </w:p>
        </w:tc>
      </w:tr>
      <w:tr w:rsidR="00A76B1F">
        <w:tc>
          <w:tcPr>
            <w:tcW w:w="587" w:type="dxa"/>
            <w:tcBorders>
              <w:top w:val="single" w:sz="6" w:space="0" w:color="7F7F7F"/>
            </w:tcBorders>
            <w:shd w:val="clear" w:color="auto" w:fill="EEEEEE"/>
          </w:tcPr>
          <w:p w:rsidR="00A76B1F" w:rsidRDefault="00A76B1F">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METHODS</w:t>
            </w:r>
          </w:p>
        </w:tc>
        <w:tc>
          <w:tcPr>
            <w:tcW w:w="7025" w:type="dxa"/>
            <w:tcBorders>
              <w:top w:val="single" w:sz="6" w:space="0" w:color="7F7F7F"/>
            </w:tcBorders>
            <w:shd w:val="clear" w:color="auto" w:fill="EEEEEE"/>
          </w:tcPr>
          <w:p w:rsidR="00A76B1F" w:rsidRDefault="00A76B1F">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rsidR="00A76B1F" w:rsidRDefault="00A76B1F">
            <w:pPr>
              <w:spacing w:beforeLines="40" w:before="96" w:afterLines="40" w:after="96" w:line="24" w:lineRule="atLeast"/>
              <w:rPr>
                <w:rFonts w:eastAsia="Cambria"/>
                <w:sz w:val="18"/>
                <w:szCs w:val="18"/>
                <w:lang w:val="en-GB" w:eastAsia="en-US"/>
              </w:rPr>
            </w:pPr>
          </w:p>
        </w:tc>
        <w:tc>
          <w:tcPr>
            <w:tcW w:w="4336" w:type="dxa"/>
            <w:tcBorders>
              <w:top w:val="single" w:sz="6" w:space="0" w:color="7F7F7F"/>
            </w:tcBorders>
            <w:shd w:val="clear" w:color="auto" w:fill="EEEEEE"/>
          </w:tcPr>
          <w:p w:rsidR="00A76B1F" w:rsidRDefault="00A76B1F">
            <w:pPr>
              <w:spacing w:beforeLines="40" w:before="96" w:afterLines="40" w:after="96" w:line="24" w:lineRule="atLeast"/>
              <w:rPr>
                <w:rFonts w:eastAsia="Cambria"/>
                <w:sz w:val="18"/>
                <w:szCs w:val="18"/>
                <w:lang w:val="en-GB" w:eastAsia="en-US"/>
              </w:rPr>
            </w:pPr>
          </w:p>
        </w:tc>
      </w:tr>
      <w:tr w:rsidR="00A76B1F">
        <w:tc>
          <w:tcPr>
            <w:tcW w:w="587" w:type="dxa"/>
            <w:shd w:val="clear" w:color="auto" w:fill="auto"/>
          </w:tcPr>
          <w:p w:rsidR="00A76B1F" w:rsidRDefault="00000000">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4</w:t>
            </w:r>
          </w:p>
        </w:tc>
        <w:tc>
          <w:tcPr>
            <w:tcW w:w="1822" w:type="dxa"/>
            <w:shd w:val="clear" w:color="auto" w:fill="auto"/>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Study design and data sources</w:t>
            </w:r>
          </w:p>
        </w:tc>
        <w:tc>
          <w:tcPr>
            <w:tcW w:w="7025" w:type="dxa"/>
            <w:shd w:val="clear" w:color="auto" w:fill="auto"/>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rsidR="00A76B1F" w:rsidRDefault="00A76B1F">
            <w:pPr>
              <w:spacing w:beforeLines="40" w:before="96" w:afterLines="40" w:after="96" w:line="24" w:lineRule="atLeast"/>
              <w:rPr>
                <w:rFonts w:eastAsia="Times New Roman"/>
                <w:sz w:val="18"/>
                <w:szCs w:val="18"/>
                <w:lang w:val="en-GB" w:eastAsia="en-GB"/>
              </w:rPr>
            </w:pPr>
          </w:p>
        </w:tc>
        <w:tc>
          <w:tcPr>
            <w:tcW w:w="4336" w:type="dxa"/>
          </w:tcPr>
          <w:p w:rsidR="00A76B1F" w:rsidRDefault="00A76B1F">
            <w:pPr>
              <w:spacing w:beforeLines="40" w:before="96" w:afterLines="40" w:after="96" w:line="24" w:lineRule="atLeast"/>
              <w:rPr>
                <w:rFonts w:eastAsia="Times New Roman"/>
                <w:sz w:val="18"/>
                <w:szCs w:val="18"/>
                <w:lang w:val="en-GB" w:eastAsia="en-GB"/>
              </w:rPr>
            </w:pPr>
          </w:p>
        </w:tc>
      </w:tr>
      <w:tr w:rsidR="00A76B1F">
        <w:tc>
          <w:tcPr>
            <w:tcW w:w="587" w:type="dxa"/>
            <w:shd w:val="clear" w:color="auto" w:fill="EEEEEE"/>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shd w:val="clear" w:color="auto" w:fill="FFFFFF"/>
                <w:lang w:val="en-GB" w:eastAsia="en-GB"/>
              </w:rPr>
              <w:t xml:space="preserve">Setting: </w:t>
            </w:r>
            <w:r>
              <w:rPr>
                <w:rFonts w:eastAsia="Times New Roman" w:hint="eastAsia"/>
                <w:sz w:val="18"/>
                <w:szCs w:val="18"/>
                <w:lang w:val="en-GB" w:eastAsia="en-GB"/>
              </w:rPr>
              <w:t xml:space="preserve">Describe the study design and the underlying population, if possible. </w:t>
            </w:r>
            <w:r>
              <w:rPr>
                <w:rFonts w:eastAsia="Times New Roman" w:hint="eastAsia"/>
                <w:sz w:val="18"/>
                <w:szCs w:val="18"/>
                <w:shd w:val="clear" w:color="auto" w:fill="FFFFFF"/>
                <w:lang w:val="en-GB" w:eastAsia="en-GB"/>
              </w:rPr>
              <w:t xml:space="preserve">Describe the setting, locations, and relevant dates, including periods </w:t>
            </w:r>
            <w:r>
              <w:rPr>
                <w:rFonts w:eastAsia="Times New Roman" w:hint="eastAsia"/>
                <w:color w:val="000000"/>
                <w:sz w:val="18"/>
                <w:szCs w:val="18"/>
                <w:shd w:val="clear" w:color="auto" w:fill="FFFFFF"/>
                <w:lang w:val="en-GB" w:eastAsia="en-GB"/>
              </w:rPr>
              <w:t>of recruitment, exposure, follow-up, and data collection, when available.</w:t>
            </w:r>
          </w:p>
        </w:tc>
        <w:tc>
          <w:tcPr>
            <w:tcW w:w="720" w:type="dxa"/>
            <w:shd w:val="clear" w:color="auto" w:fill="EEEEEE"/>
          </w:tcPr>
          <w:p w:rsidR="00A76B1F" w:rsidRDefault="00000000">
            <w:pPr>
              <w:spacing w:beforeLines="40" w:before="96" w:afterLines="40" w:after="96" w:line="24" w:lineRule="atLeast"/>
              <w:rPr>
                <w:rFonts w:eastAsia="宋体"/>
                <w:sz w:val="18"/>
                <w:szCs w:val="18"/>
                <w:shd w:val="clear" w:color="auto" w:fill="FFFFFF"/>
                <w:lang w:val="en-US" w:eastAsia="zh-CN"/>
              </w:rPr>
            </w:pPr>
            <w:r>
              <w:rPr>
                <w:rFonts w:eastAsia="宋体" w:hint="eastAsia"/>
                <w:sz w:val="18"/>
                <w:szCs w:val="18"/>
                <w:shd w:val="clear" w:color="auto" w:fill="FFFFFF"/>
                <w:lang w:val="en-US" w:eastAsia="zh-CN"/>
              </w:rPr>
              <w:t>10</w:t>
            </w:r>
          </w:p>
        </w:tc>
        <w:tc>
          <w:tcPr>
            <w:tcW w:w="4336" w:type="dxa"/>
            <w:shd w:val="clear" w:color="auto" w:fill="EEEEEE"/>
          </w:tcPr>
          <w:p w:rsidR="00A76B1F" w:rsidRDefault="00351A4D">
            <w:pPr>
              <w:spacing w:beforeLines="40" w:before="96" w:afterLines="40" w:after="96" w:line="24" w:lineRule="atLeast"/>
              <w:rPr>
                <w:rFonts w:eastAsia="Times New Roman"/>
                <w:sz w:val="18"/>
                <w:szCs w:val="18"/>
                <w:shd w:val="clear" w:color="auto" w:fill="FFFFFF"/>
                <w:lang w:val="en-US" w:eastAsia="en-GB"/>
              </w:rPr>
            </w:pPr>
            <w:r>
              <w:rPr>
                <w:rFonts w:eastAsia="Times New Roman"/>
                <w:sz w:val="18"/>
                <w:szCs w:val="18"/>
                <w:shd w:val="clear" w:color="auto" w:fill="FFFFFF"/>
                <w:lang w:val="en-US" w:eastAsia="en-GB"/>
              </w:rPr>
              <w:t>N.A.</w:t>
            </w:r>
          </w:p>
        </w:tc>
      </w:tr>
      <w:tr w:rsidR="00A76B1F">
        <w:tc>
          <w:tcPr>
            <w:tcW w:w="587" w:type="dxa"/>
            <w:shd w:val="clear" w:color="auto" w:fill="auto"/>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shd w:val="clear" w:color="auto" w:fill="auto"/>
          </w:tcPr>
          <w:p w:rsidR="00A76B1F" w:rsidRDefault="00000000">
            <w:pPr>
              <w:spacing w:beforeLines="40" w:before="96" w:afterLines="40" w:after="96" w:line="24" w:lineRule="atLeast"/>
              <w:textAlignment w:val="baseline"/>
              <w:rPr>
                <w:rFonts w:eastAsia="Cambria"/>
                <w:sz w:val="18"/>
                <w:szCs w:val="18"/>
                <w:lang w:val="en-GB" w:eastAsia="en-US"/>
              </w:rPr>
            </w:pPr>
            <w:r>
              <w:rPr>
                <w:rFonts w:eastAsia="Times New Roman" w:hint="eastAsia"/>
                <w:sz w:val="18"/>
                <w:szCs w:val="18"/>
                <w:shd w:val="clear" w:color="auto" w:fill="FFFFFF"/>
                <w:lang w:val="en-GB" w:eastAsia="en-GB"/>
              </w:rPr>
              <w:t xml:space="preserve">Participants: Give the eligibility criteria, and the sources and methods of selection of participants. </w:t>
            </w:r>
            <w:r>
              <w:rPr>
                <w:rFonts w:eastAsia="Times New Roman" w:hint="eastAsia"/>
                <w:color w:val="000000"/>
                <w:sz w:val="18"/>
                <w:szCs w:val="18"/>
              </w:rPr>
              <w:t>Report the sample size, and whether any power or sample size calculations were carried out prior to the main analysis</w:t>
            </w:r>
            <w:r>
              <w:rPr>
                <w:rFonts w:eastAsia="Times New Roman" w:hint="eastAsia"/>
                <w:sz w:val="18"/>
                <w:szCs w:val="18"/>
                <w:lang w:val="en-GB" w:eastAsia="en-GB"/>
              </w:rPr>
              <w:t> </w:t>
            </w:r>
          </w:p>
        </w:tc>
        <w:tc>
          <w:tcPr>
            <w:tcW w:w="720" w:type="dxa"/>
          </w:tcPr>
          <w:p w:rsidR="00A76B1F" w:rsidRDefault="00000000">
            <w:pPr>
              <w:spacing w:beforeLines="40" w:before="96" w:afterLines="40" w:after="96" w:line="24" w:lineRule="atLeast"/>
              <w:textAlignment w:val="baseline"/>
              <w:rPr>
                <w:rFonts w:eastAsia="宋体"/>
                <w:sz w:val="18"/>
                <w:szCs w:val="18"/>
                <w:shd w:val="clear" w:color="auto" w:fill="FFFFFF"/>
                <w:lang w:val="en-US" w:eastAsia="zh-CN"/>
              </w:rPr>
            </w:pPr>
            <w:r>
              <w:rPr>
                <w:rFonts w:eastAsia="宋体" w:hint="eastAsia"/>
                <w:sz w:val="18"/>
                <w:szCs w:val="18"/>
                <w:shd w:val="clear" w:color="auto" w:fill="FFFFFF"/>
                <w:lang w:val="en-US" w:eastAsia="zh-CN"/>
              </w:rPr>
              <w:t>4</w:t>
            </w:r>
          </w:p>
        </w:tc>
        <w:tc>
          <w:tcPr>
            <w:tcW w:w="4336" w:type="dxa"/>
          </w:tcPr>
          <w:p w:rsidR="00A76B1F" w:rsidRDefault="00000000">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hint="eastAsia"/>
                <w:sz w:val="18"/>
                <w:szCs w:val="18"/>
                <w:shd w:val="clear" w:color="auto" w:fill="FFFFFF"/>
                <w:lang w:val="en-GB" w:eastAsia="en-GB"/>
              </w:rPr>
              <w:t xml:space="preserve">The primary genetic instrument for prostatitis was derived from pooled data on prostatitis from the FinnGen Research Program, which is a GWAS conducted on 74,658 European adult men.GWAS summary data for PCa were extracted from three consortia, which were UK biobank baseline data (ncase = 3436, ncontrol = 459574) (ukb-b-2160)19, European Bioinformatics Institute Database (ncase = 79148, ncontrol = 61106) (ebi-a-GCST006085)20, and IEU openGWAS database (ncase = 79148, ncontrol = 61106)(ieu-b-85)21. </w:t>
            </w:r>
          </w:p>
          <w:p w:rsidR="00A76B1F" w:rsidRDefault="00000000">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hint="eastAsia"/>
                <w:sz w:val="18"/>
                <w:szCs w:val="18"/>
                <w:shd w:val="clear" w:color="auto" w:fill="FFFFFF"/>
                <w:lang w:val="en-GB" w:eastAsia="en-GB"/>
              </w:rPr>
              <w:t xml:space="preserve">To identify SNPs strongly associated with prostatitis, the inclusion criterion for SNPs was p &lt; 5×10−8, which resulted in no associated SNPs being found. To enroll more SNPs contributing to prostatitis, a more lenient threshold was applied (p&lt; 5×10−6)15. Ten SNPs demonstrated a robust </w:t>
            </w:r>
            <w:r>
              <w:rPr>
                <w:rFonts w:eastAsia="Times New Roman" w:hint="eastAsia"/>
                <w:sz w:val="18"/>
                <w:szCs w:val="18"/>
                <w:shd w:val="clear" w:color="auto" w:fill="FFFFFF"/>
                <w:lang w:val="en-GB" w:eastAsia="en-GB"/>
              </w:rPr>
              <w:lastRenderedPageBreak/>
              <w:t>association with prostatitis (p &lt; 5 × 10-6, linkage disequilibrium [LD] r2 &lt; 0.001, kb = 10000)16. The mean F-statistic value was 1074 [F=(N-K-1/K)*(R²/(1-R²))], which is much stronger than the regular value of 10, indicating that these SNPs have a strong predictive ability17,18.</w:t>
            </w:r>
          </w:p>
        </w:tc>
      </w:tr>
      <w:tr w:rsidR="00A76B1F">
        <w:tc>
          <w:tcPr>
            <w:tcW w:w="587" w:type="dxa"/>
            <w:shd w:val="clear" w:color="auto" w:fill="EEEEEE"/>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c)</w:t>
            </w:r>
          </w:p>
        </w:tc>
        <w:tc>
          <w:tcPr>
            <w:tcW w:w="7025" w:type="dxa"/>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Describe measurement, quality control and selection of genetic variants</w:t>
            </w:r>
          </w:p>
        </w:tc>
        <w:tc>
          <w:tcPr>
            <w:tcW w:w="720" w:type="dxa"/>
            <w:shd w:val="clear" w:color="auto" w:fill="EEEEEE"/>
          </w:tcPr>
          <w:p w:rsidR="00A76B1F" w:rsidRDefault="00000000">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4</w:t>
            </w:r>
          </w:p>
        </w:tc>
        <w:tc>
          <w:tcPr>
            <w:tcW w:w="4336" w:type="dxa"/>
            <w:shd w:val="clear" w:color="auto" w:fill="EEEEEE"/>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 To identify SNPs strongly associated with prostatitis, the inclusion criterion for SNPs was p &lt; 5×10−8, which resulted in no associated SNPs being found. To enroll more SNPs contributing to prostatitis, a more lenient threshold was applied (p&lt; 5×10−6)15. Ten SNPs demonstrated a robust association with prostatitis (p &lt; 5 × 10-6, linkage disequilibrium [LD] r2 &lt; 0.001, kb = 10000)16. The mean F-statistic value was 1074 [F=(N-K-1/K)*(R²/(1-R²))], which is much stronger than the regular value of 10, indicating that these SNPs have a strong predictive ability17,18.</w:t>
            </w:r>
          </w:p>
        </w:tc>
      </w:tr>
      <w:tr w:rsidR="00A76B1F">
        <w:tc>
          <w:tcPr>
            <w:tcW w:w="587" w:type="dxa"/>
            <w:shd w:val="clear" w:color="auto" w:fill="auto"/>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d)</w:t>
            </w:r>
          </w:p>
        </w:tc>
        <w:tc>
          <w:tcPr>
            <w:tcW w:w="7025" w:type="dxa"/>
            <w:shd w:val="clear" w:color="auto" w:fill="auto"/>
          </w:tcPr>
          <w:p w:rsidR="00A76B1F" w:rsidRDefault="00000000">
            <w:pPr>
              <w:spacing w:beforeLines="40" w:before="96" w:afterLines="40" w:after="96" w:line="24" w:lineRule="atLeast"/>
              <w:textAlignment w:val="baseline"/>
              <w:rPr>
                <w:rFonts w:eastAsia="Cambria"/>
                <w:sz w:val="18"/>
                <w:szCs w:val="18"/>
                <w:lang w:val="en-GB" w:eastAsia="en-US"/>
              </w:rPr>
            </w:pPr>
            <w:r>
              <w:rPr>
                <w:rFonts w:eastAsia="Times New Roman" w:hint="eastAsia"/>
                <w:sz w:val="18"/>
                <w:szCs w:val="18"/>
                <w:shd w:val="clear" w:color="auto" w:fill="FFFFFF"/>
                <w:lang w:val="en-GB" w:eastAsia="en-GB"/>
              </w:rPr>
              <w:t>For each exposure, outcome, and other relevant variables, describe methods of assessment and diagnostic criteria for diseases</w:t>
            </w:r>
          </w:p>
        </w:tc>
        <w:tc>
          <w:tcPr>
            <w:tcW w:w="720" w:type="dxa"/>
          </w:tcPr>
          <w:p w:rsidR="00A76B1F" w:rsidRDefault="00000000">
            <w:pPr>
              <w:spacing w:beforeLines="40" w:before="96" w:afterLines="40" w:after="96" w:line="24" w:lineRule="atLeast"/>
              <w:textAlignment w:val="baseline"/>
              <w:rPr>
                <w:rFonts w:eastAsia="宋体"/>
                <w:sz w:val="18"/>
                <w:szCs w:val="18"/>
                <w:shd w:val="clear" w:color="auto" w:fill="FFFFFF"/>
                <w:lang w:val="en-US" w:eastAsia="zh-CN"/>
              </w:rPr>
            </w:pPr>
            <w:r>
              <w:rPr>
                <w:rFonts w:eastAsia="宋体" w:hint="eastAsia"/>
                <w:sz w:val="18"/>
                <w:szCs w:val="18"/>
                <w:shd w:val="clear" w:color="auto" w:fill="FFFFFF"/>
                <w:lang w:val="en-US" w:eastAsia="zh-CN"/>
              </w:rPr>
              <w:t>4-5</w:t>
            </w:r>
          </w:p>
        </w:tc>
        <w:tc>
          <w:tcPr>
            <w:tcW w:w="4336" w:type="dxa"/>
          </w:tcPr>
          <w:p w:rsidR="00A76B1F" w:rsidRDefault="00000000">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hint="eastAsia"/>
                <w:sz w:val="18"/>
                <w:szCs w:val="18"/>
                <w:shd w:val="clear" w:color="auto" w:fill="FFFFFF"/>
                <w:lang w:val="en-GB" w:eastAsia="en-GB"/>
              </w:rPr>
              <w:t>We harmonized effector alleles between prostatitis and GWAS of PCa before using MR methods. We used a couple of MR methods to determine MR estimates of prostatitis in PCa, which are the inverse variance weighted (IVW) method, the MR-Egger method, and the weighted median method. The F-statistic was applied to evaluate the strength of an individual instrument. The Wald ratio method was used to calculate exposure-outcome effect values for each SNP22.</w:t>
            </w:r>
            <w:r>
              <w:rPr>
                <w:rFonts w:eastAsia="宋体" w:hint="eastAsia"/>
                <w:sz w:val="18"/>
                <w:szCs w:val="18"/>
                <w:shd w:val="clear" w:color="auto" w:fill="FFFFFF"/>
                <w:lang w:val="en-US" w:eastAsia="zh-CN"/>
              </w:rPr>
              <w:t xml:space="preserve"> </w:t>
            </w:r>
            <w:r>
              <w:rPr>
                <w:rFonts w:eastAsia="Times New Roman" w:hint="eastAsia"/>
                <w:sz w:val="18"/>
                <w:szCs w:val="18"/>
                <w:shd w:val="clear" w:color="auto" w:fill="FFFFFF"/>
                <w:lang w:val="en-GB" w:eastAsia="en-GB"/>
              </w:rPr>
              <w:t>Additionally, we validated the results obtained through the IVW method by employing the MR-Egger method and the weighted median method, thereby complementing the IVW estimates. We tested for possible heterogeneity and directed multivalence using the Cochrane Q test (p &lt; 0.05) and the MR-Egger intercept (MR-Egger p &lt; 0.05 is indicative of the presence of directed polyvalence), respectively17,23. Horizontal polyvalence was detected using the MR-Polyvalent Residuals and Outliers method (MR-PRESSO). Moreover, a leave-one-out analysis was executed.</w:t>
            </w:r>
          </w:p>
        </w:tc>
      </w:tr>
      <w:tr w:rsidR="00A76B1F">
        <w:tc>
          <w:tcPr>
            <w:tcW w:w="587" w:type="dxa"/>
            <w:shd w:val="clear" w:color="auto" w:fill="EEEEEE"/>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e)</w:t>
            </w:r>
          </w:p>
        </w:tc>
        <w:tc>
          <w:tcPr>
            <w:tcW w:w="7025" w:type="dxa"/>
            <w:shd w:val="clear" w:color="auto" w:fill="EEEEEE"/>
          </w:tcPr>
          <w:p w:rsidR="00A76B1F" w:rsidRDefault="00000000">
            <w:pPr>
              <w:spacing w:beforeLines="40" w:before="96" w:afterLines="40" w:after="96" w:line="24" w:lineRule="atLeast"/>
              <w:textAlignment w:val="baseline"/>
              <w:rPr>
                <w:rFonts w:eastAsia="Cambria"/>
                <w:sz w:val="18"/>
                <w:szCs w:val="18"/>
                <w:lang w:val="en-GB" w:eastAsia="en-US"/>
              </w:rPr>
            </w:pPr>
            <w:r>
              <w:rPr>
                <w:rFonts w:eastAsia="Times New Roman" w:hint="eastAsia"/>
                <w:sz w:val="18"/>
                <w:szCs w:val="18"/>
                <w:shd w:val="clear" w:color="auto" w:fill="FFFFFF"/>
                <w:lang w:val="en-GB" w:eastAsia="en-GB"/>
              </w:rPr>
              <w:t>Provide details of ethics committee approval and participant informed consent, if relevant</w:t>
            </w:r>
          </w:p>
        </w:tc>
        <w:tc>
          <w:tcPr>
            <w:tcW w:w="720" w:type="dxa"/>
            <w:shd w:val="clear" w:color="auto" w:fill="EEEEEE"/>
          </w:tcPr>
          <w:p w:rsidR="00A76B1F" w:rsidRDefault="00A76B1F">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36" w:type="dxa"/>
            <w:shd w:val="clear" w:color="auto" w:fill="EEEEEE"/>
          </w:tcPr>
          <w:p w:rsidR="00A76B1F" w:rsidRDefault="00351A4D">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hint="eastAsia"/>
                <w:sz w:val="18"/>
                <w:szCs w:val="18"/>
                <w:shd w:val="clear" w:color="auto" w:fill="FFFFFF"/>
                <w:lang w:val="en-GB" w:eastAsia="en-GB"/>
              </w:rPr>
              <w:t>N</w:t>
            </w:r>
            <w:r>
              <w:rPr>
                <w:rFonts w:eastAsia="Times New Roman"/>
                <w:sz w:val="18"/>
                <w:szCs w:val="18"/>
                <w:shd w:val="clear" w:color="auto" w:fill="FFFFFF"/>
                <w:lang w:val="en-GB" w:eastAsia="en-GB"/>
              </w:rPr>
              <w:t>.A.</w:t>
            </w:r>
          </w:p>
        </w:tc>
      </w:tr>
      <w:tr w:rsidR="00A76B1F">
        <w:tc>
          <w:tcPr>
            <w:tcW w:w="587" w:type="dxa"/>
            <w:shd w:val="clear" w:color="auto" w:fill="auto"/>
          </w:tcPr>
          <w:p w:rsidR="00A76B1F" w:rsidRDefault="00000000">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5</w:t>
            </w:r>
          </w:p>
        </w:tc>
        <w:tc>
          <w:tcPr>
            <w:tcW w:w="1822" w:type="dxa"/>
            <w:shd w:val="clear" w:color="auto" w:fill="auto"/>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Assumptions</w:t>
            </w:r>
          </w:p>
          <w:p w:rsidR="00A76B1F" w:rsidRDefault="00A76B1F">
            <w:pPr>
              <w:spacing w:beforeLines="40" w:before="96" w:afterLines="40" w:after="96" w:line="24" w:lineRule="atLeast"/>
              <w:jc w:val="center"/>
              <w:rPr>
                <w:rFonts w:eastAsia="Cambria"/>
                <w:sz w:val="18"/>
                <w:szCs w:val="18"/>
                <w:lang w:val="en-GB" w:eastAsia="en-US"/>
              </w:rPr>
            </w:pPr>
          </w:p>
        </w:tc>
        <w:tc>
          <w:tcPr>
            <w:tcW w:w="7025" w:type="dxa"/>
            <w:shd w:val="clear" w:color="auto" w:fill="auto"/>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rsidR="00A76B1F" w:rsidRDefault="00000000">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4-5</w:t>
            </w:r>
          </w:p>
        </w:tc>
        <w:tc>
          <w:tcPr>
            <w:tcW w:w="4336" w:type="dxa"/>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The principles of MR follow three main assumptions</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lastRenderedPageBreak/>
              <w:t>(i) Hypothesis of Association: A robust correlation exists between exposure factors and Single Nucleotide Polymorphisms (SNPs).</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(ii) Assumption of Independence: SNPs are presumed to exhibit independence from confounding variables. </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(iii) Exclusivity Assumption: SNPs exert their influence on outcomes solely through the mediation of exposure factors12.</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Based on the above hypotheses, utilizing summary statistics derived from the GWAS of prostatitis and PCa, we employed MR studies to unveil the causal relationship between prostatitis and the risk of PCa13.</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The Wald ratio method was used to calculate exposure-outcome effect values for each SNP22.</w:t>
            </w:r>
          </w:p>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Additionally, we validated the results obtained through the IVW method by employing the MR-Egger method and the weighted median method, thereby complementing the IVW estimates. We tested for possible heterogeneity and directed multivalence using the Cochrane Q test (p &lt; 0.05) and the MR-Egger intercept (MR-Egger p &lt; 0.05 is indicative of the presence of directed polyvalence), respectively17,23. Horizontal polyvalence was detected using the MR-Polyvalent Residuals and Outliers method (MR-PRESSO). Moreover, a leave-one-out analysis was executed.</w:t>
            </w:r>
          </w:p>
        </w:tc>
      </w:tr>
      <w:tr w:rsidR="00A76B1F">
        <w:tc>
          <w:tcPr>
            <w:tcW w:w="587" w:type="dxa"/>
            <w:shd w:val="clear" w:color="auto" w:fill="EEEEEE"/>
          </w:tcPr>
          <w:p w:rsidR="00A76B1F" w:rsidRDefault="00000000">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lastRenderedPageBreak/>
              <w:t>6</w:t>
            </w:r>
          </w:p>
        </w:tc>
        <w:tc>
          <w:tcPr>
            <w:tcW w:w="1822" w:type="dxa"/>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Statistical methods: main analysis</w:t>
            </w:r>
          </w:p>
        </w:tc>
        <w:tc>
          <w:tcPr>
            <w:tcW w:w="7025" w:type="dxa"/>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Describe statistical methods and statistics used</w:t>
            </w:r>
          </w:p>
        </w:tc>
        <w:tc>
          <w:tcPr>
            <w:tcW w:w="720" w:type="dxa"/>
            <w:shd w:val="clear" w:color="auto" w:fill="EEEEEE"/>
          </w:tcPr>
          <w:p w:rsidR="00A76B1F" w:rsidRDefault="00A76B1F">
            <w:pPr>
              <w:spacing w:beforeLines="40" w:before="96" w:afterLines="40" w:after="96" w:line="24" w:lineRule="atLeast"/>
              <w:rPr>
                <w:rFonts w:eastAsia="Times New Roman"/>
                <w:sz w:val="18"/>
                <w:szCs w:val="18"/>
                <w:lang w:val="en-GB" w:eastAsia="en-GB"/>
              </w:rPr>
            </w:pPr>
          </w:p>
        </w:tc>
        <w:tc>
          <w:tcPr>
            <w:tcW w:w="4336" w:type="dxa"/>
            <w:shd w:val="clear" w:color="auto" w:fill="EEEEEE"/>
          </w:tcPr>
          <w:p w:rsidR="00A76B1F" w:rsidRDefault="00A76B1F">
            <w:pPr>
              <w:spacing w:beforeLines="40" w:before="96" w:afterLines="40" w:after="96" w:line="24" w:lineRule="atLeast"/>
              <w:rPr>
                <w:rFonts w:eastAsia="Times New Roman"/>
                <w:sz w:val="18"/>
                <w:szCs w:val="18"/>
                <w:lang w:val="en-GB" w:eastAsia="en-GB"/>
              </w:rPr>
            </w:pPr>
          </w:p>
        </w:tc>
      </w:tr>
      <w:tr w:rsidR="00A76B1F">
        <w:tc>
          <w:tcPr>
            <w:tcW w:w="587" w:type="dxa"/>
            <w:shd w:val="clear" w:color="auto" w:fill="auto"/>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auto"/>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Describe how quantitative variables were handled in the analyses (i.e., scale, units, model)</w:t>
            </w:r>
          </w:p>
        </w:tc>
        <w:tc>
          <w:tcPr>
            <w:tcW w:w="720" w:type="dxa"/>
          </w:tcPr>
          <w:p w:rsidR="00A76B1F" w:rsidRDefault="00000000">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4-5</w:t>
            </w:r>
          </w:p>
        </w:tc>
        <w:tc>
          <w:tcPr>
            <w:tcW w:w="4336" w:type="dxa"/>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shd w:val="clear" w:color="auto" w:fill="FFFFFF"/>
                <w:lang w:val="en-GB" w:eastAsia="en-GB"/>
              </w:rPr>
              <w:t>We harmonized effector alleles between prostatitis and GWAS of PCa before using MR methods. We used a couple of MR methods to determine MR estimates of prostatitis in PCa, which are the inverse variance weighted (IVW) method, the MR-Egger method, and the weighted median method. The F-statistic was applied to evaluate the strength of an individual instrument. The Wald ratio method was used to calculate exposure-outcome effect values for each SNP22.</w:t>
            </w:r>
            <w:r>
              <w:rPr>
                <w:rFonts w:eastAsia="宋体" w:hint="eastAsia"/>
                <w:sz w:val="18"/>
                <w:szCs w:val="18"/>
                <w:shd w:val="clear" w:color="auto" w:fill="FFFFFF"/>
                <w:lang w:val="en-US" w:eastAsia="zh-CN"/>
              </w:rPr>
              <w:t xml:space="preserve"> </w:t>
            </w:r>
            <w:r>
              <w:rPr>
                <w:rFonts w:eastAsia="Times New Roman" w:hint="eastAsia"/>
                <w:sz w:val="18"/>
                <w:szCs w:val="18"/>
                <w:shd w:val="clear" w:color="auto" w:fill="FFFFFF"/>
                <w:lang w:val="en-GB" w:eastAsia="en-GB"/>
              </w:rPr>
              <w:t xml:space="preserve">Additionally, we validated the results obtained through the IVW method by employing the MR-Egger method and the weighted median method, thereby complementing the IVW </w:t>
            </w:r>
            <w:r>
              <w:rPr>
                <w:rFonts w:eastAsia="Times New Roman" w:hint="eastAsia"/>
                <w:sz w:val="18"/>
                <w:szCs w:val="18"/>
                <w:shd w:val="clear" w:color="auto" w:fill="FFFFFF"/>
                <w:lang w:val="en-GB" w:eastAsia="en-GB"/>
              </w:rPr>
              <w:lastRenderedPageBreak/>
              <w:t>estimates. We tested for possible heterogeneity and directed multivalence using the Cochrane Q test (p &lt; 0.05) and the MR-Egger intercept (MR-Egger p &lt; 0.05 is indicative of the presence of directed polyvalence), respectively17,23. Horizontal polyvalence was detected using the MR-Polyvalent Residuals and Outliers method (MR-PRESSO). Moreover, a leave-one-out analysis was executed.</w:t>
            </w:r>
          </w:p>
        </w:tc>
      </w:tr>
      <w:tr w:rsidR="00A76B1F">
        <w:tc>
          <w:tcPr>
            <w:tcW w:w="587" w:type="dxa"/>
            <w:shd w:val="clear" w:color="auto" w:fill="EEEEEE"/>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shd w:val="clear" w:color="auto" w:fill="EEEEEE"/>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Describe how genetic variants were handled in the analyses and, if applicable, how their weights were selected</w:t>
            </w:r>
          </w:p>
        </w:tc>
        <w:tc>
          <w:tcPr>
            <w:tcW w:w="720" w:type="dxa"/>
            <w:shd w:val="clear" w:color="auto" w:fill="EEEEEE"/>
          </w:tcPr>
          <w:p w:rsidR="00A76B1F" w:rsidRDefault="00000000">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shd w:val="clear" w:color="auto" w:fill="EEEEEE"/>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We tested for possible heterogeneity and directed multivalence using the Cochrane Q test (p &lt; 0.05) and the MR-Egger intercept (MR-Egger p &lt; 0.05 is indicative of the presence of directed polyvalence), respectively17,23. Horizontal polyvalence was detected using the MR-Polyvalent Residuals and Outliers method (MR-PRESSO).</w:t>
            </w:r>
          </w:p>
        </w:tc>
      </w:tr>
      <w:tr w:rsidR="00A76B1F">
        <w:tc>
          <w:tcPr>
            <w:tcW w:w="587" w:type="dxa"/>
            <w:shd w:val="clear" w:color="auto" w:fill="auto"/>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c)</w:t>
            </w:r>
          </w:p>
        </w:tc>
        <w:tc>
          <w:tcPr>
            <w:tcW w:w="7025" w:type="dxa"/>
            <w:shd w:val="clear" w:color="auto" w:fill="auto"/>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rsidR="00A76B1F" w:rsidRDefault="00351A4D">
            <w:pPr>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N.A.</w:t>
            </w:r>
          </w:p>
        </w:tc>
        <w:tc>
          <w:tcPr>
            <w:tcW w:w="4336" w:type="dxa"/>
          </w:tcPr>
          <w:p w:rsidR="00A76B1F" w:rsidRDefault="00351A4D">
            <w:pPr>
              <w:spacing w:beforeLines="40" w:before="96" w:afterLines="40" w:after="96" w:line="24" w:lineRule="atLeast"/>
              <w:rPr>
                <w:rFonts w:eastAsia="Times New Roman"/>
                <w:sz w:val="18"/>
                <w:szCs w:val="18"/>
                <w:lang w:val="en-US" w:eastAsia="en-GB"/>
              </w:rPr>
            </w:pPr>
            <w:bookmarkStart w:id="2" w:name="OLE_LINK784"/>
            <w:bookmarkStart w:id="3" w:name="OLE_LINK785"/>
            <w:r>
              <w:rPr>
                <w:rFonts w:eastAsia="Times New Roman"/>
                <w:sz w:val="18"/>
                <w:szCs w:val="18"/>
                <w:lang w:val="en-US" w:eastAsia="en-GB"/>
              </w:rPr>
              <w:t>N.A.</w:t>
            </w:r>
            <w:bookmarkEnd w:id="2"/>
            <w:bookmarkEnd w:id="3"/>
          </w:p>
        </w:tc>
      </w:tr>
      <w:tr w:rsidR="00A76B1F">
        <w:tc>
          <w:tcPr>
            <w:tcW w:w="587" w:type="dxa"/>
            <w:shd w:val="clear" w:color="auto" w:fill="EEEEEE"/>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d)</w:t>
            </w:r>
          </w:p>
        </w:tc>
        <w:tc>
          <w:tcPr>
            <w:tcW w:w="7025" w:type="dxa"/>
            <w:shd w:val="clear" w:color="auto" w:fill="EEEEEE"/>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Explain how missing data were addressed</w:t>
            </w:r>
          </w:p>
        </w:tc>
        <w:tc>
          <w:tcPr>
            <w:tcW w:w="720" w:type="dxa"/>
            <w:shd w:val="clear" w:color="auto" w:fill="EEEEEE"/>
          </w:tcPr>
          <w:p w:rsidR="00A76B1F" w:rsidRDefault="00351A4D">
            <w:pPr>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N.A.</w:t>
            </w:r>
          </w:p>
        </w:tc>
        <w:tc>
          <w:tcPr>
            <w:tcW w:w="4336" w:type="dxa"/>
            <w:shd w:val="clear" w:color="auto" w:fill="EEEEEE"/>
          </w:tcPr>
          <w:p w:rsidR="00A76B1F" w:rsidRDefault="00351A4D">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 xml:space="preserve">There is </w:t>
            </w:r>
            <w:r w:rsidR="00000000">
              <w:rPr>
                <w:rFonts w:eastAsia="Times New Roman"/>
                <w:sz w:val="18"/>
                <w:szCs w:val="18"/>
                <w:lang w:val="en-US" w:eastAsia="en-GB"/>
              </w:rPr>
              <w:t>no missing data</w:t>
            </w:r>
            <w:r>
              <w:rPr>
                <w:rFonts w:eastAsia="Times New Roman"/>
                <w:sz w:val="18"/>
                <w:szCs w:val="18"/>
                <w:lang w:val="en-US" w:eastAsia="en-GB"/>
              </w:rPr>
              <w:t>.</w:t>
            </w:r>
          </w:p>
        </w:tc>
      </w:tr>
      <w:tr w:rsidR="00A76B1F">
        <w:tc>
          <w:tcPr>
            <w:tcW w:w="587" w:type="dxa"/>
            <w:shd w:val="clear" w:color="auto" w:fill="auto"/>
          </w:tcPr>
          <w:p w:rsidR="00A76B1F" w:rsidRDefault="00A76B1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A76B1F" w:rsidRDefault="00000000">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e)</w:t>
            </w:r>
          </w:p>
        </w:tc>
        <w:tc>
          <w:tcPr>
            <w:tcW w:w="7025" w:type="dxa"/>
            <w:shd w:val="clear" w:color="auto" w:fill="auto"/>
          </w:tcPr>
          <w:p w:rsidR="00A76B1F" w:rsidRDefault="00000000">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If applicable, indicate how multiple testing was addressed</w:t>
            </w:r>
          </w:p>
        </w:tc>
        <w:tc>
          <w:tcPr>
            <w:tcW w:w="720" w:type="dxa"/>
          </w:tcPr>
          <w:p w:rsidR="00A76B1F" w:rsidRDefault="00000000">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tcPr>
          <w:p w:rsidR="00A76B1F" w:rsidRDefault="00000000">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we validated the results obtained through the IVW method by employing the MR-Egger method and the weighted median method, thereby complementing the IVW estimates. We tested for possible heterogeneity and directed multivalence using the Cochrane Q test (p &lt; 0.05) and the MR-Egger intercept (MR-Egger p &lt; 0.05 is indicative of the presence of directed polyvalence), respectively17,23. Horizontal polyvalence was detected using the MR-Polyvalent Residuals and Outliers method (MR-PRESSO).</w:t>
            </w:r>
          </w:p>
        </w:tc>
      </w:tr>
      <w:tr w:rsidR="00FF1499">
        <w:tc>
          <w:tcPr>
            <w:tcW w:w="587" w:type="dxa"/>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7</w:t>
            </w:r>
          </w:p>
        </w:tc>
        <w:tc>
          <w:tcPr>
            <w:tcW w:w="1822"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Assessment of assumptions</w:t>
            </w:r>
          </w:p>
        </w:tc>
        <w:tc>
          <w:tcPr>
            <w:tcW w:w="7025" w:type="dxa"/>
            <w:shd w:val="clear" w:color="auto" w:fill="EEEEEE"/>
          </w:tcPr>
          <w:p w:rsidR="00FF1499" w:rsidRDefault="00FF1499" w:rsidP="00FF1499">
            <w:pPr>
              <w:tabs>
                <w:tab w:val="left" w:pos="1620"/>
              </w:tabs>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Describe any methods or prior knowledge used to assess the assumptions or justify their validity</w:t>
            </w:r>
            <w:r>
              <w:rPr>
                <w:rFonts w:eastAsia="Cambria" w:hint="eastAsia"/>
                <w:sz w:val="18"/>
                <w:szCs w:val="18"/>
                <w:lang w:val="en-GB" w:eastAsia="en-US"/>
              </w:rPr>
              <w:tab/>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we validated the results obtained through the IVW method by employing the MR-Egger method and the weighted median method, thereby complementing the IVW estimates. We tested for possible heterogeneity and directed multivalence using the Cochrane Q test (p &lt; 0.05) and the MR-Egger intercept (MR-Egger p &lt; 0.05 is indicative of the presence of directed polyvalence), respectively17,23. Horizontal polyvalence was detected using the MR-Polyvalent Residuals and Outliers method (MR-PRESSO).</w:t>
            </w:r>
          </w:p>
        </w:tc>
      </w:tr>
      <w:tr w:rsidR="00FF1499">
        <w:tc>
          <w:tcPr>
            <w:tcW w:w="587" w:type="dxa"/>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lastRenderedPageBreak/>
              <w:t>8</w:t>
            </w:r>
          </w:p>
        </w:tc>
        <w:tc>
          <w:tcPr>
            <w:tcW w:w="1822"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Sensitivity analyses and additional analyses</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we validated the results obtained through the IVW method by employing the MR-Egger method and the weighted median method, thereby complementing the IVW estimates. We tested for possible heterogeneity and directed multivalence using the Cochrane Q test (p &lt; 0.05) and the MR-Egger intercept (MR-Egger p &lt; 0.05 is indicative of the presence of directed polyvalence), respectively17,23. Horizontal polyvalence was detected using the MR-Polyvalent Residuals and Outliers method (MR-PRESSO). Moreover, a leave-one-out analysis was executed.</w:t>
            </w:r>
          </w:p>
        </w:tc>
      </w:tr>
      <w:tr w:rsidR="00FF1499">
        <w:tc>
          <w:tcPr>
            <w:tcW w:w="587" w:type="dxa"/>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9</w:t>
            </w:r>
          </w:p>
        </w:tc>
        <w:tc>
          <w:tcPr>
            <w:tcW w:w="1822"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Software and pre-registration</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Name statistical software and package(s), including version and settings used </w:t>
            </w:r>
          </w:p>
        </w:tc>
        <w:tc>
          <w:tcPr>
            <w:tcW w:w="720"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Utilizing R software, precisely version 4.3.1, MRPRESSO version 1.0, and the TwoSampleMR software package version 0.5.7, we performed the analyses. We established statistical significance at a threshold of P&lt; 0.05.</w:t>
            </w:r>
          </w:p>
        </w:tc>
      </w:tr>
      <w:tr w:rsidR="00FF1499">
        <w:tc>
          <w:tcPr>
            <w:tcW w:w="587" w:type="dxa"/>
            <w:tcBorders>
              <w:bottom w:val="single" w:sz="6" w:space="0" w:color="7F7F7F"/>
            </w:tcBorders>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bookmarkStart w:id="4" w:name="_Hlk167049778"/>
          </w:p>
        </w:tc>
        <w:tc>
          <w:tcPr>
            <w:tcW w:w="1822" w:type="dxa"/>
            <w:tcBorders>
              <w:bottom w:val="single" w:sz="6" w:space="0" w:color="7F7F7F"/>
            </w:tcBorders>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N.A.</w:t>
            </w:r>
          </w:p>
        </w:tc>
        <w:tc>
          <w:tcPr>
            <w:tcW w:w="4336"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宋体"/>
                <w:sz w:val="18"/>
                <w:szCs w:val="18"/>
                <w:lang w:val="en-US" w:eastAsia="zh-CN"/>
              </w:rPr>
            </w:pPr>
            <w:bookmarkStart w:id="5" w:name="OLE_LINK786"/>
            <w:bookmarkStart w:id="6" w:name="OLE_LINK787"/>
            <w:r>
              <w:rPr>
                <w:rFonts w:eastAsia="Times New Roman"/>
                <w:sz w:val="18"/>
                <w:szCs w:val="18"/>
                <w:lang w:val="en-US" w:eastAsia="en-GB"/>
              </w:rPr>
              <w:t>N.A.</w:t>
            </w:r>
            <w:bookmarkEnd w:id="5"/>
            <w:bookmarkEnd w:id="6"/>
          </w:p>
        </w:tc>
      </w:tr>
      <w:bookmarkEnd w:id="4"/>
      <w:tr w:rsidR="00FF1499">
        <w:tc>
          <w:tcPr>
            <w:tcW w:w="587"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RESULTS</w:t>
            </w:r>
          </w:p>
        </w:tc>
        <w:tc>
          <w:tcPr>
            <w:tcW w:w="7025"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tcBorders>
              <w:top w:val="single" w:sz="6" w:space="0" w:color="7F7F7F"/>
            </w:tcBorders>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10</w:t>
            </w:r>
          </w:p>
        </w:tc>
        <w:tc>
          <w:tcPr>
            <w:tcW w:w="1822"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Descriptive data</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Report the numbers of individuals at each stage of included studies and reasons for exclusion. Consider use of a flow diagram</w:t>
            </w:r>
          </w:p>
        </w:tc>
        <w:tc>
          <w:tcPr>
            <w:tcW w:w="720"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4</w:t>
            </w:r>
          </w:p>
        </w:tc>
        <w:tc>
          <w:tcPr>
            <w:tcW w:w="4336"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To identify SNPs strongly associated with prostatitis, the inclusion criterion for SNPs was p &lt; 5×10−8, which resulted in no associated SNPs being found. To enroll more SNPs contributing to prostatitis, a more lenient threshold was applied (p&lt; 5×10−6)15. Ten SNPs demonstrated a robust association with prostatitis (p &lt; 5 × 10-6, linkage disequilibrium [LD] r2 &lt; 0.001, kb = 10000)16</w:t>
            </w: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Report summary statistics for phenotypic exposure(s), outcome(s), and other relevant variables (e.g. means, SDs, proportions)</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N.A.</w:t>
            </w:r>
          </w:p>
        </w:tc>
        <w:tc>
          <w:tcPr>
            <w:tcW w:w="4336" w:type="dxa"/>
            <w:shd w:val="clear" w:color="auto" w:fill="EEEEEE"/>
          </w:tcPr>
          <w:p w:rsidR="00FF1499" w:rsidRDefault="00FF1499" w:rsidP="00FF1499">
            <w:pPr>
              <w:spacing w:beforeLines="40" w:before="96" w:afterLines="40" w:after="96" w:line="24" w:lineRule="atLeast"/>
              <w:rPr>
                <w:rFonts w:eastAsia="宋体"/>
                <w:sz w:val="18"/>
                <w:szCs w:val="18"/>
                <w:lang w:val="en-US" w:eastAsia="zh-CN"/>
              </w:rPr>
            </w:pPr>
            <w:r>
              <w:rPr>
                <w:rFonts w:eastAsia="Times New Roman"/>
                <w:sz w:val="18"/>
                <w:szCs w:val="18"/>
                <w:lang w:val="en-US" w:eastAsia="en-GB"/>
              </w:rPr>
              <w:t>N.A.</w:t>
            </w: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c)</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If the data sources include meta-analyses of previous studies, provide the assessments of heterogeneity across these studies</w:t>
            </w:r>
          </w:p>
        </w:tc>
        <w:tc>
          <w:tcPr>
            <w:tcW w:w="720"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N.A.</w:t>
            </w:r>
          </w:p>
        </w:tc>
        <w:tc>
          <w:tcPr>
            <w:tcW w:w="4336" w:type="dxa"/>
          </w:tcPr>
          <w:p w:rsidR="00FF1499" w:rsidRDefault="00FF1499" w:rsidP="00FF1499">
            <w:pPr>
              <w:spacing w:beforeLines="40" w:before="96" w:afterLines="40" w:after="96" w:line="24" w:lineRule="atLeast"/>
              <w:rPr>
                <w:rFonts w:eastAsia="宋体"/>
                <w:sz w:val="18"/>
                <w:szCs w:val="18"/>
                <w:lang w:val="en-US" w:eastAsia="zh-CN"/>
              </w:rPr>
            </w:pPr>
            <w:r>
              <w:rPr>
                <w:rFonts w:eastAsia="Times New Roman"/>
                <w:sz w:val="18"/>
                <w:szCs w:val="18"/>
                <w:lang w:val="en-US" w:eastAsia="en-GB"/>
              </w:rPr>
              <w:t>N.A.</w:t>
            </w: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d)</w:t>
            </w:r>
          </w:p>
        </w:tc>
        <w:tc>
          <w:tcPr>
            <w:tcW w:w="7025"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For </w:t>
            </w:r>
            <w:r>
              <w:rPr>
                <w:rFonts w:eastAsia="Times New Roman" w:hint="eastAsia"/>
                <w:iCs/>
                <w:sz w:val="18"/>
                <w:szCs w:val="18"/>
                <w:lang w:val="en-GB" w:eastAsia="en-GB"/>
              </w:rPr>
              <w:t>two-sample</w:t>
            </w:r>
            <w:r>
              <w:rPr>
                <w:rFonts w:eastAsia="Times New Roman" w:hint="eastAsia"/>
                <w:sz w:val="18"/>
                <w:szCs w:val="18"/>
                <w:lang w:val="en-GB" w:eastAsia="en-GB"/>
              </w:rPr>
              <w:t xml:space="preserve"> MR:</w:t>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   i.  Provide justification of the similarity of the genetic variant-exposure associations between the exposure and outcome samples</w:t>
            </w:r>
          </w:p>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lastRenderedPageBreak/>
              <w:t xml:space="preserve">   ii.  Provide information on the number of individuals who overlap between the exposure and outcome studies</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lastRenderedPageBreak/>
              <w:t>4</w:t>
            </w: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To identify SNPs strongly associated with prostatitis, the inclusion criterion for SNPs was p &lt; 5×10−8, which resulted in no associated SNPs being found. To enroll more SNPs contributing to </w:t>
            </w:r>
            <w:r>
              <w:rPr>
                <w:rFonts w:eastAsia="Times New Roman" w:hint="eastAsia"/>
                <w:sz w:val="18"/>
                <w:szCs w:val="18"/>
                <w:lang w:val="en-GB" w:eastAsia="en-GB"/>
              </w:rPr>
              <w:lastRenderedPageBreak/>
              <w:t>prostatitis, a more lenient threshold was applied (p&lt; 5×10−6)15. Ten SNPs demonstrated a robust association with prostatitis (p &lt; 5 × 10-6, linkage disequilibrium [LD] r2 &lt; 0.001, kb = 10000)16. The mean F-statistic value was 1074 [F=(N-K-1/K)*(R²/(1-R²))], which is much stronger than the regular value of 10, indicating that these SNPs have a strong predictive ability17,18.</w:t>
            </w:r>
          </w:p>
        </w:tc>
      </w:tr>
      <w:tr w:rsidR="00FF1499">
        <w:tc>
          <w:tcPr>
            <w:tcW w:w="587" w:type="dxa"/>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lastRenderedPageBreak/>
              <w:t>11</w:t>
            </w:r>
          </w:p>
        </w:tc>
        <w:tc>
          <w:tcPr>
            <w:tcW w:w="1822"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Main results</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4</w:t>
            </w: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To identify SNPs strongly associated with prostatitis, the inclusion criterion for SNPs was p &lt; 5×10−8, which resulted in no associated SNPs being found. To enroll more SNPs contributing to prostatitis, a more lenient threshold was applied (p&lt; 5×10−6)15. Ten SNPs demonstrated a robust association with prostatitis (p &lt; 5 × 10-6, linkage disequilibrium [LD] r2 &lt; 0.001, kb = 10000)16. The mean F-statistic value was 1074 [F=(N-K-1/K)*(R²/(1-R²))], which is much stronger than the regular value of 10, indicating that these SNPs have a strong predictive ability17,18.</w:t>
            </w:r>
          </w:p>
          <w:p w:rsidR="00FF1499" w:rsidRDefault="00FF1499" w:rsidP="00FF1499">
            <w:pPr>
              <w:spacing w:beforeLines="40" w:before="96" w:afterLines="40" w:after="96" w:line="24" w:lineRule="atLeast"/>
              <w:rPr>
                <w:rFonts w:eastAsia="Times New Roman"/>
                <w:sz w:val="18"/>
                <w:szCs w:val="18"/>
                <w:lang w:val="en-GB" w:eastAsia="en-GB"/>
              </w:rPr>
            </w:pP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The IVW results of the prostatitis genomics analysis database and the three PCa genomics analysis databases are as follows (OR: 1.001, 95% CI: 0.999-1.002, p=0.28), (OR: 1.015, 95% CI: 0.981-1.050, p=0.40), (OR: 1.015, 95% CI: 0.981- 1.050, p=0.40). </w:t>
            </w: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c)</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If relevant, consider translating estimates of relative risk into absolute risk for a meaningful time period</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No relevant</w:t>
            </w:r>
          </w:p>
        </w:tc>
      </w:tr>
      <w:tr w:rsidR="00FF1499">
        <w:trPr>
          <w:trHeight w:val="7277"/>
        </w:trPr>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d)</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Consider plots to visualize results (e.g. forest plot, scatterplot of associations between genetic variants and outcome versus between genetic variants and exposure)</w:t>
            </w:r>
          </w:p>
        </w:tc>
        <w:tc>
          <w:tcPr>
            <w:tcW w:w="720" w:type="dxa"/>
          </w:tcPr>
          <w:p w:rsidR="00FF1499" w:rsidRDefault="00FF1499" w:rsidP="00FF1499">
            <w:pPr>
              <w:spacing w:beforeLines="40" w:before="96" w:afterLines="40" w:after="96" w:line="24" w:lineRule="atLeast"/>
              <w:rPr>
                <w:rFonts w:eastAsia="Times New Roman"/>
                <w:sz w:val="18"/>
                <w:szCs w:val="18"/>
                <w:lang w:val="en-GB" w:eastAsia="en-GB"/>
              </w:rPr>
            </w:pPr>
          </w:p>
        </w:tc>
        <w:tc>
          <w:tcPr>
            <w:tcW w:w="4336"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6898EEA0" wp14:editId="4E074C83">
                  <wp:extent cx="2600960" cy="2444115"/>
                  <wp:effectExtent l="0" t="0" r="15240" b="19685"/>
                  <wp:docPr id="1" name="图片 1" descr="截屏2024-05-19 14.0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屏2024-05-19 14.07.23"/>
                          <pic:cNvPicPr>
                            <a:picLocks noChangeAspect="1"/>
                          </pic:cNvPicPr>
                        </pic:nvPicPr>
                        <pic:blipFill>
                          <a:blip r:embed="rId6"/>
                          <a:stretch>
                            <a:fillRect/>
                          </a:stretch>
                        </pic:blipFill>
                        <pic:spPr>
                          <a:xfrm>
                            <a:off x="0" y="0"/>
                            <a:ext cx="2600960" cy="2444115"/>
                          </a:xfrm>
                          <a:prstGeom prst="rect">
                            <a:avLst/>
                          </a:prstGeom>
                        </pic:spPr>
                      </pic:pic>
                    </a:graphicData>
                  </a:graphic>
                </wp:inline>
              </w:drawing>
            </w:r>
          </w:p>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090F1602" wp14:editId="22CC0B18">
                  <wp:extent cx="2609850" cy="2055495"/>
                  <wp:effectExtent l="0" t="0" r="6350" b="1905"/>
                  <wp:docPr id="2" name="图片 2" descr="截屏2024-05-19 14.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屏2024-05-19 14.07.31"/>
                          <pic:cNvPicPr>
                            <a:picLocks noChangeAspect="1"/>
                          </pic:cNvPicPr>
                        </pic:nvPicPr>
                        <pic:blipFill>
                          <a:blip r:embed="rId7"/>
                          <a:stretch>
                            <a:fillRect/>
                          </a:stretch>
                        </pic:blipFill>
                        <pic:spPr>
                          <a:xfrm>
                            <a:off x="0" y="0"/>
                            <a:ext cx="2609850" cy="2055495"/>
                          </a:xfrm>
                          <a:prstGeom prst="rect">
                            <a:avLst/>
                          </a:prstGeom>
                        </pic:spPr>
                      </pic:pic>
                    </a:graphicData>
                  </a:graphic>
                </wp:inline>
              </w:drawing>
            </w:r>
          </w:p>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lastRenderedPageBreak/>
              <w:drawing>
                <wp:inline distT="0" distB="0" distL="114300" distR="114300" wp14:anchorId="08D24C52" wp14:editId="06C6ACE6">
                  <wp:extent cx="2613025" cy="2443480"/>
                  <wp:effectExtent l="0" t="0" r="3175" b="20320"/>
                  <wp:docPr id="3" name="图片 3" descr="截屏2024-05-19 14.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截屏2024-05-19 14.09.16"/>
                          <pic:cNvPicPr>
                            <a:picLocks noChangeAspect="1"/>
                          </pic:cNvPicPr>
                        </pic:nvPicPr>
                        <pic:blipFill>
                          <a:blip r:embed="rId8"/>
                          <a:stretch>
                            <a:fillRect/>
                          </a:stretch>
                        </pic:blipFill>
                        <pic:spPr>
                          <a:xfrm>
                            <a:off x="0" y="0"/>
                            <a:ext cx="2613025" cy="2443480"/>
                          </a:xfrm>
                          <a:prstGeom prst="rect">
                            <a:avLst/>
                          </a:prstGeom>
                        </pic:spPr>
                      </pic:pic>
                    </a:graphicData>
                  </a:graphic>
                </wp:inline>
              </w:drawing>
            </w:r>
          </w:p>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0EE3B57F" wp14:editId="50B6769E">
                  <wp:extent cx="2612390" cy="2052320"/>
                  <wp:effectExtent l="0" t="0" r="3810" b="5080"/>
                  <wp:docPr id="4" name="图片 4" descr="截屏2024-05-19 14.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屏2024-05-19 14.09.08"/>
                          <pic:cNvPicPr>
                            <a:picLocks noChangeAspect="1"/>
                          </pic:cNvPicPr>
                        </pic:nvPicPr>
                        <pic:blipFill>
                          <a:blip r:embed="rId9"/>
                          <a:stretch>
                            <a:fillRect/>
                          </a:stretch>
                        </pic:blipFill>
                        <pic:spPr>
                          <a:xfrm>
                            <a:off x="0" y="0"/>
                            <a:ext cx="2612390" cy="2052320"/>
                          </a:xfrm>
                          <a:prstGeom prst="rect">
                            <a:avLst/>
                          </a:prstGeom>
                        </pic:spPr>
                      </pic:pic>
                    </a:graphicData>
                  </a:graphic>
                </wp:inline>
              </w:drawing>
            </w:r>
          </w:p>
        </w:tc>
      </w:tr>
      <w:tr w:rsidR="00FF1499">
        <w:tc>
          <w:tcPr>
            <w:tcW w:w="587" w:type="dxa"/>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lastRenderedPageBreak/>
              <w:t>12</w:t>
            </w:r>
          </w:p>
        </w:tc>
        <w:tc>
          <w:tcPr>
            <w:tcW w:w="1822"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Assessment of assumptions</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Report the assessment of the validity of the assumptions</w:t>
            </w:r>
          </w:p>
        </w:tc>
        <w:tc>
          <w:tcPr>
            <w:tcW w:w="720"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Among the 10 SNPs significantly associated with prostatitis, we found no significant causal relationship between prostatitis and PCa. The IVW results of the prostatitis genomics analysis database and the three PCa genomics analysis databases are as follows (OR: 1.001, 95% CI: 0.999-1.002, p=0.28), (OR: 1.015, 95% CI: 0.981-1.050, p=0.40), (OR: 1.015, 95% CI: 0.981- 1.050, p=0.40). The Cochran Q-test yielded p-values of </w:t>
            </w:r>
            <w:r>
              <w:rPr>
                <w:rFonts w:eastAsia="Times New Roman" w:hint="eastAsia"/>
                <w:sz w:val="18"/>
                <w:szCs w:val="18"/>
                <w:lang w:val="en-GB" w:eastAsia="en-GB"/>
              </w:rPr>
              <w:lastRenderedPageBreak/>
              <w:t>0.081, 0.481, and 0.483, signifying the absence of significant heterogeneity in the observed data.</w:t>
            </w: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 xml:space="preserve">Report any additional statistics (e.g., assessments of heterogeneity </w:t>
            </w:r>
            <w:r>
              <w:rPr>
                <w:rFonts w:eastAsia="Times New Roman" w:hint="eastAsia"/>
                <w:sz w:val="18"/>
                <w:szCs w:val="18"/>
                <w:lang w:eastAsia="en-GB"/>
              </w:rPr>
              <w:t>across genetic variants</w:t>
            </w:r>
            <w:r>
              <w:rPr>
                <w:rFonts w:eastAsia="Times New Roman" w:hint="eastAsia"/>
                <w:sz w:val="18"/>
                <w:szCs w:val="18"/>
                <w:lang w:val="en-GB" w:eastAsia="en-GB"/>
              </w:rPr>
              <w:t xml:space="preserve">, such as </w:t>
            </w:r>
            <w:r>
              <w:rPr>
                <w:rFonts w:eastAsia="Times New Roman" w:hint="eastAsia"/>
                <w:i/>
                <w:sz w:val="18"/>
                <w:szCs w:val="18"/>
                <w:lang w:val="en-GB" w:eastAsia="en-GB"/>
              </w:rPr>
              <w:t>I</w:t>
            </w:r>
            <w:r>
              <w:rPr>
                <w:rFonts w:eastAsia="Times New Roman" w:hint="eastAsia"/>
                <w:i/>
                <w:sz w:val="18"/>
                <w:szCs w:val="18"/>
                <w:vertAlign w:val="superscript"/>
                <w:lang w:val="en-GB" w:eastAsia="en-GB"/>
              </w:rPr>
              <w:t>2</w:t>
            </w:r>
            <w:r>
              <w:rPr>
                <w:rFonts w:eastAsia="Times New Roman" w:hint="eastAsia"/>
                <w:sz w:val="18"/>
                <w:szCs w:val="18"/>
                <w:lang w:val="en-GB" w:eastAsia="en-GB"/>
              </w:rPr>
              <w:t>, Q statistic or E-value)</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02F16F0F" wp14:editId="033E35E5">
                  <wp:extent cx="2613025" cy="702310"/>
                  <wp:effectExtent l="0" t="0" r="3175" b="8890"/>
                  <wp:docPr id="7" name="图片 7" descr="截屏2024-05-19 14.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截屏2024-05-19 14.25.07"/>
                          <pic:cNvPicPr>
                            <a:picLocks noChangeAspect="1"/>
                          </pic:cNvPicPr>
                        </pic:nvPicPr>
                        <pic:blipFill>
                          <a:blip r:embed="rId10"/>
                          <a:stretch>
                            <a:fillRect/>
                          </a:stretch>
                        </pic:blipFill>
                        <pic:spPr>
                          <a:xfrm>
                            <a:off x="0" y="0"/>
                            <a:ext cx="2613025" cy="702310"/>
                          </a:xfrm>
                          <a:prstGeom prst="rect">
                            <a:avLst/>
                          </a:prstGeom>
                        </pic:spPr>
                      </pic:pic>
                    </a:graphicData>
                  </a:graphic>
                </wp:inline>
              </w:drawing>
            </w:r>
          </w:p>
        </w:tc>
      </w:tr>
      <w:tr w:rsidR="00FF1499">
        <w:tc>
          <w:tcPr>
            <w:tcW w:w="587" w:type="dxa"/>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13</w:t>
            </w:r>
          </w:p>
        </w:tc>
        <w:tc>
          <w:tcPr>
            <w:tcW w:w="1822" w:type="dxa"/>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Sensitivity analyses and additional analyses</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Report any sensitivity analyses to assess the robustness of the main results to violations of the assumptions</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The P-values for the three MR-PRESSOs were 0.154, 0.491, and 0.484, respectively, indicating no indication of the existence of horizontal pleiotropy. </w:t>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The Cochran Q-test yielded p-values of 0.081, 0.481, and 0.483, signifying the absence of significant heterogeneity in the observed data.</w:t>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An analysis of leave-one-out demonstrated that after phasing out individual SNPs in the UK Biobank Database (ukb-b-2160), the overall when eliminating rs35521406 results may change24.</w:t>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noProof/>
                <w:sz w:val="18"/>
                <w:szCs w:val="18"/>
                <w:lang w:val="en-GB" w:eastAsia="en-GB"/>
              </w:rPr>
              <w:drawing>
                <wp:inline distT="0" distB="0" distL="114300" distR="114300" wp14:anchorId="04A64274" wp14:editId="794FFF59">
                  <wp:extent cx="2611120" cy="2073910"/>
                  <wp:effectExtent l="0" t="0" r="5080" b="8890"/>
                  <wp:docPr id="5" name="图片 5" descr="截屏2024-05-19 14.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屏2024-05-19 14.15.47"/>
                          <pic:cNvPicPr>
                            <a:picLocks noChangeAspect="1"/>
                          </pic:cNvPicPr>
                        </pic:nvPicPr>
                        <pic:blipFill>
                          <a:blip r:embed="rId11"/>
                          <a:stretch>
                            <a:fillRect/>
                          </a:stretch>
                        </pic:blipFill>
                        <pic:spPr>
                          <a:xfrm>
                            <a:off x="0" y="0"/>
                            <a:ext cx="2611120" cy="2073910"/>
                          </a:xfrm>
                          <a:prstGeom prst="rect">
                            <a:avLst/>
                          </a:prstGeom>
                        </pic:spPr>
                      </pic:pic>
                    </a:graphicData>
                  </a:graphic>
                </wp:inline>
              </w:drawing>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noProof/>
                <w:sz w:val="18"/>
                <w:szCs w:val="18"/>
                <w:lang w:val="en-GB" w:eastAsia="en-GB"/>
              </w:rPr>
              <w:lastRenderedPageBreak/>
              <w:drawing>
                <wp:inline distT="0" distB="0" distL="114300" distR="114300" wp14:anchorId="0D040025" wp14:editId="6D864D00">
                  <wp:extent cx="2607310" cy="2059305"/>
                  <wp:effectExtent l="0" t="0" r="8890" b="23495"/>
                  <wp:docPr id="6" name="图片 6" descr="截屏2024-05-19 14.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截屏2024-05-19 14.16.11"/>
                          <pic:cNvPicPr>
                            <a:picLocks noChangeAspect="1"/>
                          </pic:cNvPicPr>
                        </pic:nvPicPr>
                        <pic:blipFill>
                          <a:blip r:embed="rId12"/>
                          <a:stretch>
                            <a:fillRect/>
                          </a:stretch>
                        </pic:blipFill>
                        <pic:spPr>
                          <a:xfrm>
                            <a:off x="0" y="0"/>
                            <a:ext cx="2607310" cy="2059305"/>
                          </a:xfrm>
                          <a:prstGeom prst="rect">
                            <a:avLst/>
                          </a:prstGeom>
                        </pic:spPr>
                      </pic:pic>
                    </a:graphicData>
                  </a:graphic>
                </wp:inline>
              </w:drawing>
            </w:r>
            <w:r>
              <w:rPr>
                <w:rFonts w:eastAsia="Times New Roman" w:hint="eastAsia"/>
                <w:sz w:val="18"/>
                <w:szCs w:val="18"/>
                <w:lang w:val="en-GB" w:eastAsia="en-GB"/>
              </w:rPr>
              <w:t xml:space="preserve"> </w:t>
            </w: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Report results from other sensitivity analyses or additional analyses</w:t>
            </w:r>
          </w:p>
        </w:tc>
        <w:tc>
          <w:tcPr>
            <w:tcW w:w="720"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5</w:t>
            </w:r>
          </w:p>
        </w:tc>
        <w:tc>
          <w:tcPr>
            <w:tcW w:w="4336"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5444F6BB" wp14:editId="74BA35D4">
                  <wp:extent cx="2611755" cy="408940"/>
                  <wp:effectExtent l="0" t="0" r="4445" b="22860"/>
                  <wp:docPr id="8" name="图片 8" descr="截屏2024-05-19 14.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截屏2024-05-19 14.28.15"/>
                          <pic:cNvPicPr>
                            <a:picLocks noChangeAspect="1"/>
                          </pic:cNvPicPr>
                        </pic:nvPicPr>
                        <pic:blipFill>
                          <a:blip r:embed="rId13"/>
                          <a:stretch>
                            <a:fillRect/>
                          </a:stretch>
                        </pic:blipFill>
                        <pic:spPr>
                          <a:xfrm>
                            <a:off x="0" y="0"/>
                            <a:ext cx="2611755" cy="408940"/>
                          </a:xfrm>
                          <a:prstGeom prst="rect">
                            <a:avLst/>
                          </a:prstGeom>
                        </pic:spPr>
                      </pic:pic>
                    </a:graphicData>
                  </a:graphic>
                </wp:inline>
              </w:drawing>
            </w:r>
          </w:p>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 xml:space="preserve">Although there was one MR-Egger p-value of less than 0.05, it did not have much impact on the overall conclusions of the study. The p-values for the test of multiplicity were 0.79, 0.09, and 0.09, indicating that SNPs were not directionally pleiotropy for the three outcomes. The P-values for the three MR-PRESSOs were 0.154, 0.491, and 0.484, respectively, indicating no indication of the existence of horizontal pleiotropy. An analysis of leave-one-out demonstrated that after phasing out individual SNPs in the UK Biobank Database (ukb-b-2160), the overall when eliminating rs35521406 results may change24. </w:t>
            </w: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c)</w:t>
            </w:r>
          </w:p>
        </w:tc>
        <w:tc>
          <w:tcPr>
            <w:tcW w:w="7025"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Report any assessment of direction of causal relationship (e.g., bidirectional MR)</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26AFF450" wp14:editId="473C62ED">
                  <wp:extent cx="2609850" cy="1070610"/>
                  <wp:effectExtent l="0" t="0" r="6350" b="21590"/>
                  <wp:docPr id="10" name="图片 10" descr="截屏2024-05-19 14.3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截屏2024-05-19 14.32.04"/>
                          <pic:cNvPicPr>
                            <a:picLocks noChangeAspect="1"/>
                          </pic:cNvPicPr>
                        </pic:nvPicPr>
                        <pic:blipFill>
                          <a:blip r:embed="rId14"/>
                          <a:stretch>
                            <a:fillRect/>
                          </a:stretch>
                        </pic:blipFill>
                        <pic:spPr>
                          <a:xfrm>
                            <a:off x="0" y="0"/>
                            <a:ext cx="2609850" cy="1070610"/>
                          </a:xfrm>
                          <a:prstGeom prst="rect">
                            <a:avLst/>
                          </a:prstGeom>
                        </pic:spPr>
                      </pic:pic>
                    </a:graphicData>
                  </a:graphic>
                </wp:inline>
              </w:drawing>
            </w: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d)</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When relevant, report and compare with estimates from non-MR analyses</w:t>
            </w:r>
          </w:p>
        </w:tc>
        <w:tc>
          <w:tcPr>
            <w:tcW w:w="720" w:type="dxa"/>
          </w:tcPr>
          <w:p w:rsidR="00FF1499" w:rsidRDefault="00FF1499" w:rsidP="00FF1499">
            <w:pPr>
              <w:spacing w:beforeLines="40" w:before="96" w:afterLines="40" w:after="96" w:line="24" w:lineRule="atLeast"/>
              <w:rPr>
                <w:rFonts w:eastAsia="Times New Roman"/>
                <w:sz w:val="18"/>
                <w:szCs w:val="18"/>
                <w:lang w:val="en-GB" w:eastAsia="en-GB"/>
              </w:rPr>
            </w:pPr>
          </w:p>
        </w:tc>
        <w:tc>
          <w:tcPr>
            <w:tcW w:w="4336" w:type="dxa"/>
          </w:tcPr>
          <w:p w:rsidR="00FF1499" w:rsidRDefault="00FF1499" w:rsidP="00FF1499">
            <w:pPr>
              <w:spacing w:beforeLines="40" w:before="96" w:afterLines="40" w:after="96" w:line="24" w:lineRule="atLeast"/>
              <w:rPr>
                <w:rFonts w:eastAsia="Times New Roman" w:hint="eastAsia"/>
                <w:sz w:val="18"/>
                <w:szCs w:val="18"/>
                <w:lang w:val="en-US" w:eastAsia="zh-CN"/>
              </w:rPr>
            </w:pPr>
            <w:r>
              <w:rPr>
                <w:rFonts w:eastAsia="Times New Roman"/>
                <w:sz w:val="18"/>
                <w:szCs w:val="18"/>
                <w:lang w:val="en-US" w:eastAsia="en-GB"/>
              </w:rPr>
              <w:t>No relevant</w:t>
            </w:r>
          </w:p>
        </w:tc>
      </w:tr>
      <w:tr w:rsidR="00FF1499">
        <w:tc>
          <w:tcPr>
            <w:tcW w:w="587" w:type="dxa"/>
            <w:tcBorders>
              <w:bottom w:val="single" w:sz="6" w:space="0" w:color="7F7F7F"/>
            </w:tcBorders>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e)</w:t>
            </w:r>
          </w:p>
        </w:tc>
        <w:tc>
          <w:tcPr>
            <w:tcW w:w="7025"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p>
        </w:tc>
        <w:tc>
          <w:tcPr>
            <w:tcW w:w="4336"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72ABEAF9" wp14:editId="48623A3C">
                  <wp:extent cx="2611120" cy="2073910"/>
                  <wp:effectExtent l="0" t="0" r="5080" b="8890"/>
                  <wp:docPr id="13" name="图片 13" descr="截屏2024-05-19 14.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截屏2024-05-19 14.15.47"/>
                          <pic:cNvPicPr>
                            <a:picLocks noChangeAspect="1"/>
                          </pic:cNvPicPr>
                        </pic:nvPicPr>
                        <pic:blipFill>
                          <a:blip r:embed="rId11"/>
                          <a:stretch>
                            <a:fillRect/>
                          </a:stretch>
                        </pic:blipFill>
                        <pic:spPr>
                          <a:xfrm>
                            <a:off x="0" y="0"/>
                            <a:ext cx="2611120" cy="2073910"/>
                          </a:xfrm>
                          <a:prstGeom prst="rect">
                            <a:avLst/>
                          </a:prstGeom>
                        </pic:spPr>
                      </pic:pic>
                    </a:graphicData>
                  </a:graphic>
                </wp:inline>
              </w:drawing>
            </w:r>
          </w:p>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noProof/>
                <w:sz w:val="18"/>
                <w:szCs w:val="18"/>
                <w:lang w:val="en-US" w:eastAsia="en-GB"/>
              </w:rPr>
              <w:drawing>
                <wp:inline distT="0" distB="0" distL="114300" distR="114300" wp14:anchorId="7B60D94C" wp14:editId="4D7D4014">
                  <wp:extent cx="2607310" cy="2059305"/>
                  <wp:effectExtent l="0" t="0" r="8890" b="23495"/>
                  <wp:docPr id="14" name="图片 14" descr="截屏2024-05-19 14.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截屏2024-05-19 14.16.11"/>
                          <pic:cNvPicPr>
                            <a:picLocks noChangeAspect="1"/>
                          </pic:cNvPicPr>
                        </pic:nvPicPr>
                        <pic:blipFill>
                          <a:blip r:embed="rId12"/>
                          <a:stretch>
                            <a:fillRect/>
                          </a:stretch>
                        </pic:blipFill>
                        <pic:spPr>
                          <a:xfrm>
                            <a:off x="0" y="0"/>
                            <a:ext cx="2607310" cy="2059305"/>
                          </a:xfrm>
                          <a:prstGeom prst="rect">
                            <a:avLst/>
                          </a:prstGeom>
                        </pic:spPr>
                      </pic:pic>
                    </a:graphicData>
                  </a:graphic>
                </wp:inline>
              </w:drawing>
            </w:r>
          </w:p>
        </w:tc>
      </w:tr>
      <w:tr w:rsidR="00FF1499">
        <w:tc>
          <w:tcPr>
            <w:tcW w:w="587"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DISCUSSION</w:t>
            </w:r>
          </w:p>
        </w:tc>
        <w:tc>
          <w:tcPr>
            <w:tcW w:w="7025"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tcBorders>
              <w:top w:val="single" w:sz="6" w:space="0" w:color="7F7F7F"/>
            </w:tcBorders>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14</w:t>
            </w:r>
          </w:p>
        </w:tc>
        <w:tc>
          <w:tcPr>
            <w:tcW w:w="1822"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Key results </w:t>
            </w:r>
          </w:p>
        </w:tc>
        <w:tc>
          <w:tcPr>
            <w:tcW w:w="7025"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Summarize key results with reference to study objectives</w:t>
            </w:r>
          </w:p>
        </w:tc>
        <w:tc>
          <w:tcPr>
            <w:tcW w:w="720" w:type="dxa"/>
            <w:shd w:val="clear" w:color="auto" w:fill="EEEEEE"/>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6</w:t>
            </w: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Currently, no MR has provided credible evidence for the causal causal association of prostatitis with PCa. Thus, we systematically analyzed the results of three GWAS databases, each considering a common exposure factor. These three GWAS databases yielded similar results for the same exposure factor. In conclusion, our analysis indicates no apparent causal link between prostatitis and PCa.</w:t>
            </w:r>
          </w:p>
        </w:tc>
      </w:tr>
      <w:tr w:rsidR="00FF1499">
        <w:tc>
          <w:tcPr>
            <w:tcW w:w="587" w:type="dxa"/>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lastRenderedPageBreak/>
              <w:t>15</w:t>
            </w:r>
          </w:p>
        </w:tc>
        <w:tc>
          <w:tcPr>
            <w:tcW w:w="1822" w:type="dxa"/>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Limitations</w:t>
            </w:r>
          </w:p>
        </w:tc>
        <w:tc>
          <w:tcPr>
            <w:tcW w:w="7025" w:type="dxa"/>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hint="eastAsia"/>
                <w:sz w:val="18"/>
                <w:szCs w:val="18"/>
                <w:shd w:val="clear" w:color="auto" w:fill="FFFFFF"/>
                <w:lang w:val="en-GB" w:eastAsia="en-GB"/>
              </w:rPr>
              <w:t> </w:t>
            </w:r>
          </w:p>
        </w:tc>
        <w:tc>
          <w:tcPr>
            <w:tcW w:w="720"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8</w:t>
            </w:r>
          </w:p>
        </w:tc>
        <w:tc>
          <w:tcPr>
            <w:tcW w:w="4336"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There are also unavoidable limitations to our results52. Although the MR method yielded a negative result, this result only shows that from a purely disease perspective, prostatitis is not a risk factor for PCa. The link from prostatitis to PCa has long been discussed, but the potential causal relationship is still unknown due to conflicting evidence between the two disease53,54. </w:t>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For the current experiment, an enhancement could be achieved by seeking SNP data related to chronic prostatitis and subsequently conducting additional MR. This would further elucidate whether prostatitis constitutes one of the risk factors for PCa. Furthermore, some circulating inflammatory factors associated with inflammation provide a tumor microenvironment suitable for tumorigenesis for the survival of tumor cells57. Conducting an MR using reextracted prostatitis-associated circulating inflammatory factor SNPs will illustrate the causal link between prostatitis and PCa at the molecular mechanism level58. </w:t>
            </w:r>
          </w:p>
        </w:tc>
      </w:tr>
      <w:tr w:rsidR="00FF1499">
        <w:tc>
          <w:tcPr>
            <w:tcW w:w="587" w:type="dxa"/>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16</w:t>
            </w:r>
          </w:p>
        </w:tc>
        <w:tc>
          <w:tcPr>
            <w:tcW w:w="1822"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Interpretation</w:t>
            </w:r>
          </w:p>
        </w:tc>
        <w:tc>
          <w:tcPr>
            <w:tcW w:w="7025"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a)</w:t>
            </w:r>
          </w:p>
        </w:tc>
        <w:tc>
          <w:tcPr>
            <w:tcW w:w="7025" w:type="dxa"/>
            <w:shd w:val="clear" w:color="auto" w:fill="auto"/>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Meaning: Give a cautious overall interpretation of results in the context of their limitations and in comparison with other studies</w:t>
            </w:r>
          </w:p>
        </w:tc>
        <w:tc>
          <w:tcPr>
            <w:tcW w:w="720" w:type="dxa"/>
          </w:tcPr>
          <w:p w:rsidR="00FF1499" w:rsidRDefault="00FF1499" w:rsidP="00FF1499">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5-6</w:t>
            </w:r>
            <w:r>
              <w:rPr>
                <w:rFonts w:eastAsia="宋体" w:hint="eastAsia"/>
                <w:sz w:val="18"/>
                <w:szCs w:val="18"/>
                <w:lang w:val="en-US" w:eastAsia="zh-CN"/>
              </w:rPr>
              <w:t>，</w:t>
            </w:r>
            <w:r>
              <w:rPr>
                <w:rFonts w:eastAsia="宋体" w:hint="eastAsia"/>
                <w:sz w:val="18"/>
                <w:szCs w:val="18"/>
                <w:lang w:val="en-US" w:eastAsia="zh-CN"/>
              </w:rPr>
              <w:t>8</w:t>
            </w:r>
          </w:p>
        </w:tc>
        <w:tc>
          <w:tcPr>
            <w:tcW w:w="4336" w:type="dxa"/>
          </w:tcPr>
          <w:p w:rsidR="00FF1499" w:rsidRDefault="00FF1499" w:rsidP="00FF1499">
            <w:pPr>
              <w:spacing w:beforeLines="40" w:before="96" w:afterLines="40" w:after="96" w:line="24" w:lineRule="atLeast"/>
              <w:rPr>
                <w:rFonts w:eastAsia="Times New Roman"/>
                <w:sz w:val="18"/>
                <w:szCs w:val="18"/>
                <w:lang w:val="en-US" w:eastAsia="en-GB"/>
              </w:rPr>
            </w:pPr>
            <w:r>
              <w:rPr>
                <w:rFonts w:eastAsia="Times New Roman"/>
                <w:sz w:val="18"/>
                <w:szCs w:val="18"/>
                <w:lang w:val="en-US" w:eastAsia="en-GB"/>
              </w:rPr>
              <w:t>Conventional observational studies are prone to the influences of selection bias and information bias. To mitigate the inherent limitations of these observational studies, we opted for MR analysis to draw relatively reliable conclusions12,25. Currently, no MR has provided credible evidence for the causal causal association of prostatitis with PCa</w:t>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T</w:t>
            </w:r>
            <w:r>
              <w:rPr>
                <w:rFonts w:eastAsia="Times New Roman" w:hint="eastAsia"/>
                <w:sz w:val="18"/>
                <w:szCs w:val="18"/>
                <w:lang w:val="en-GB" w:eastAsia="en-GB"/>
              </w:rPr>
              <w:t>his study marks the initial utilization of MR to investigate the risk relationship between prostatitis and PCa. Due to the inherent advantages of MR in exploring the causality of exposure and outcome, the conclusions derived from this study are considered relatively reliable. The connection between prostatitis and PCa remains unclear, warranting further investigation.</w:t>
            </w:r>
          </w:p>
        </w:tc>
      </w:tr>
      <w:tr w:rsidR="00FF1499">
        <w:tc>
          <w:tcPr>
            <w:tcW w:w="587" w:type="dxa"/>
            <w:shd w:val="clear" w:color="auto" w:fill="EEEEEE"/>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b)</w:t>
            </w:r>
          </w:p>
        </w:tc>
        <w:tc>
          <w:tcPr>
            <w:tcW w:w="7025"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rsidR="00FF1499" w:rsidRDefault="00FF1499" w:rsidP="00FF1499">
            <w:pPr>
              <w:spacing w:beforeLines="40" w:before="96" w:afterLines="40" w:after="96" w:line="24" w:lineRule="atLeast"/>
              <w:rPr>
                <w:rFonts w:eastAsia="宋体"/>
                <w:sz w:val="18"/>
                <w:szCs w:val="18"/>
                <w:lang w:val="en-US" w:eastAsia="zh-CN"/>
              </w:rPr>
            </w:pPr>
            <w:r>
              <w:rPr>
                <w:rFonts w:eastAsia="Times New Roman"/>
                <w:sz w:val="18"/>
                <w:szCs w:val="18"/>
                <w:lang w:val="en-US" w:eastAsia="en-GB"/>
              </w:rPr>
              <w:t>6</w:t>
            </w:r>
            <w:r>
              <w:rPr>
                <w:rFonts w:eastAsia="宋体" w:hint="eastAsia"/>
                <w:sz w:val="18"/>
                <w:szCs w:val="18"/>
                <w:lang w:val="en-US" w:eastAsia="zh-CN"/>
              </w:rPr>
              <w:t>-7</w:t>
            </w: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 xml:space="preserve">Infiltrating inflammatory cells can stimulate various reactive substances, such as reactive oxygen and reactive nitrogen29. These substances can directly or indirectly lead to single-strand or double-strand DNA breaks, damaging protein products in proliferating cells and thereby promoting the growth of cancer cells30,31. There is evidence indicating a </w:t>
            </w:r>
            <w:r>
              <w:rPr>
                <w:rFonts w:eastAsia="Times New Roman" w:hint="eastAsia"/>
                <w:sz w:val="18"/>
                <w:szCs w:val="18"/>
                <w:lang w:val="en-GB" w:eastAsia="en-GB"/>
              </w:rPr>
              <w:lastRenderedPageBreak/>
              <w:t>close association between prostatitis and PCa. In a comprehensive multi-ethnic and racial cohort study led by Iona Cheng et al., findings revealed that men with a history of prostatitis exhibited a heightened risk of developing PCa in comparison to those devoid of such a medical history  (RR = 1.30; 95% CI: 1.10-1.54)32. The risk of PCa demonstrated an escalation with the duration of prostatitis symptoms (P = 0.003)32. Roberts et al. discovered a vital relationship between a history of prostatitis (Types I-III) and PCa, although this association was weaker in a case-control study33. Additionally, there is literature substantiating the early involvement of prostatitis in the development of presumed risk factors/pre-neoplastic lesions for PCa, specifically proliferative inflammatory atrophy (PIA). Within PIA, the proliferating atrophic epithelial cells manifest a regenerative response to cellular injury, exhibiting conspicuous indicators of oxidative stress. It is posited that these cells may occasionally act as direct precursor cells for prostatic intraepithelial neoplasia (PIN) and/or PCa34,35.</w:t>
            </w:r>
            <w:r>
              <w:rPr>
                <w:rFonts w:eastAsia="Times New Roman"/>
                <w:sz w:val="18"/>
                <w:szCs w:val="18"/>
                <w:lang w:val="en-US" w:eastAsia="en-GB"/>
              </w:rPr>
              <w:t xml:space="preserve"> </w:t>
            </w:r>
            <w:r>
              <w:rPr>
                <w:rFonts w:eastAsia="Times New Roman" w:hint="eastAsia"/>
                <w:sz w:val="18"/>
                <w:szCs w:val="18"/>
                <w:lang w:val="en-GB" w:eastAsia="en-GB"/>
              </w:rPr>
              <w:t>Prostatitis often instigates the activation of the NF-κB signaling pathway, with this activation recognized as a pivotal mechanism contributing to the initiation and progression of PCa36. The activated NF-κB pathway additionally stimulates the production of a myriad of pro-inflammatory cytokines, encompassing chemokines, interleukin (IL)-8, and vascular endothelial growth factor (VEGF)37,38. This cascade of events facilitates the growth and invasion of tumor cells.</w:t>
            </w:r>
          </w:p>
          <w:p w:rsidR="00FF1499" w:rsidRDefault="00FF1499" w:rsidP="00FF1499">
            <w:pPr>
              <w:spacing w:beforeLines="40" w:before="96" w:afterLines="40" w:after="96" w:line="24" w:lineRule="atLeast"/>
              <w:rPr>
                <w:rFonts w:eastAsia="Times New Roman"/>
                <w:sz w:val="18"/>
                <w:szCs w:val="18"/>
                <w:lang w:val="en-GB" w:eastAsia="en-GB"/>
              </w:rPr>
            </w:pP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However, some other studies suggested that inflammation has a protective effect on the incidence of PCa44,45. Vasavada and colleagues assessed the relationship between inflammation and the risk of prostate needle biopsy and PCa through a comprehensive literature review and meta-analysis. The findings unveiled a notable association, indicating that the presence of any inflammation was linked to a reduced risk of PCa (OR 0.455, 95% CI 0.337-0.573). Subgroup analysis based on inflammation types indicated that chronic inflammation from 15 studies and acute inflammation from four studies were correlated with a reduced risk of PCa (OR 0.499, 95% CI 0.334-</w:t>
            </w:r>
            <w:r>
              <w:rPr>
                <w:rFonts w:eastAsia="Times New Roman" w:hint="eastAsia"/>
                <w:sz w:val="18"/>
                <w:szCs w:val="18"/>
                <w:lang w:val="en-GB" w:eastAsia="en-GB"/>
              </w:rPr>
              <w:lastRenderedPageBreak/>
              <w:t>0.665, and OR 0.681, 95% CI 0.450-0.913)44. Another meta-analysis assessed the severity of baseline acute and chronic prostate inflammation, along with inflammation in initially negative prostate biopsies, and the risk of subsequent detection of PCa45. The results revealed a significant correlation between acute and chronic prostate inflammation and a reduced risk of PCa45. Moreira and colleagues assessed the relationship between the presence of prostate atrophy (PA) and chronic prostate inflammation (CPI) within the same biopsy and core, and its association with the risk and grading of PCa in subsequent biopsies. The findings indicate that both PA and CPI are linked to reduced risk and lower grading of PCa46.</w:t>
            </w:r>
          </w:p>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Research has found that inflammatory cells can also destroy tumor cells. Activated macrophages, when appropriately stimulated, are a typical component of cancer-related inflammation47. They have the capability to eliminate tumor cells and initiate a destructive inflammatory response concentrated around the walls of blood vessels47,48. Furthermore, there is evidence suggesting the pivotal role of NF-κB in balancing the pro-tumor and anti-tumor characteristics of macrophages49,50. For instance, in a skin tumor model, it was discovered that overexpression of NF-κB inhibited invasive epidermal neoplasia. 51.</w:t>
            </w:r>
          </w:p>
        </w:tc>
      </w:tr>
      <w:tr w:rsidR="00FF1499">
        <w:tc>
          <w:tcPr>
            <w:tcW w:w="587" w:type="dxa"/>
            <w:shd w:val="clear" w:color="auto" w:fill="auto"/>
          </w:tcPr>
          <w:p w:rsidR="00FF1499" w:rsidRDefault="00FF1499" w:rsidP="00FF1499">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rsidR="00FF1499" w:rsidRDefault="00FF1499" w:rsidP="00FF1499">
            <w:pPr>
              <w:spacing w:beforeLines="40" w:before="96" w:afterLines="40" w:after="96" w:line="24" w:lineRule="atLeast"/>
              <w:jc w:val="right"/>
              <w:rPr>
                <w:rFonts w:eastAsia="Cambria"/>
                <w:sz w:val="18"/>
                <w:szCs w:val="18"/>
                <w:lang w:val="en-GB" w:eastAsia="en-US"/>
              </w:rPr>
            </w:pPr>
            <w:r>
              <w:rPr>
                <w:rFonts w:eastAsia="Cambria" w:hint="eastAsia"/>
                <w:sz w:val="18"/>
                <w:szCs w:val="18"/>
                <w:lang w:val="en-GB" w:eastAsia="en-US"/>
              </w:rPr>
              <w:t>c)</w:t>
            </w:r>
          </w:p>
        </w:tc>
        <w:tc>
          <w:tcPr>
            <w:tcW w:w="7025" w:type="dxa"/>
            <w:shd w:val="clear" w:color="auto" w:fill="auto"/>
          </w:tcPr>
          <w:p w:rsidR="00FF1499" w:rsidRDefault="00FF1499" w:rsidP="00FF1499">
            <w:pPr>
              <w:tabs>
                <w:tab w:val="left" w:pos="1350"/>
              </w:tabs>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 xml:space="preserve">Clinical relevance: Discuss whether the results have clinical or public policy relevance, and </w:t>
            </w:r>
            <w:r>
              <w:rPr>
                <w:rFonts w:eastAsia="Times New Roman" w:hint="eastAsia"/>
                <w:color w:val="000000"/>
                <w:sz w:val="18"/>
                <w:szCs w:val="18"/>
                <w:lang w:eastAsia="en-GB"/>
              </w:rPr>
              <w:t>to what extent they inform effect sizes of possible interventions</w:t>
            </w:r>
          </w:p>
        </w:tc>
        <w:tc>
          <w:tcPr>
            <w:tcW w:w="720" w:type="dxa"/>
          </w:tcPr>
          <w:p w:rsidR="00FF1499" w:rsidRDefault="00FF1499" w:rsidP="00FF1499">
            <w:pPr>
              <w:tabs>
                <w:tab w:val="left" w:pos="1350"/>
              </w:tabs>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8</w:t>
            </w:r>
          </w:p>
        </w:tc>
        <w:tc>
          <w:tcPr>
            <w:tcW w:w="4336" w:type="dxa"/>
          </w:tcPr>
          <w:p w:rsidR="00FF1499" w:rsidRDefault="00FF1499" w:rsidP="00FF1499">
            <w:pPr>
              <w:tabs>
                <w:tab w:val="left" w:pos="1350"/>
              </w:tabs>
              <w:spacing w:beforeLines="40" w:before="96" w:afterLines="40" w:after="96" w:line="24" w:lineRule="atLeast"/>
              <w:rPr>
                <w:rFonts w:eastAsia="Times New Roman"/>
                <w:sz w:val="18"/>
                <w:szCs w:val="18"/>
                <w:lang w:val="en-GB" w:eastAsia="en-GB"/>
              </w:rPr>
            </w:pPr>
            <w:r>
              <w:rPr>
                <w:rFonts w:eastAsia="Times New Roman"/>
                <w:sz w:val="18"/>
                <w:szCs w:val="18"/>
                <w:lang w:val="en-US" w:eastAsia="en-GB"/>
              </w:rPr>
              <w:t>T</w:t>
            </w:r>
            <w:r>
              <w:rPr>
                <w:rFonts w:eastAsia="Times New Roman" w:hint="eastAsia"/>
                <w:sz w:val="18"/>
                <w:szCs w:val="18"/>
                <w:lang w:val="en-GB" w:eastAsia="en-GB"/>
              </w:rPr>
              <w:t>his study marks the initial utilization of MR to investigate the risk relationship between prostatitis and PCa. Due to the inherent advantages of MR in exploring the causality of exposure and outcome, the conclusions derived from this study are considered relatively reliable. The connection between prostatitis and PCa remains unclear, warranting further investigation.</w:t>
            </w:r>
          </w:p>
        </w:tc>
      </w:tr>
      <w:tr w:rsidR="00FF1499">
        <w:tc>
          <w:tcPr>
            <w:tcW w:w="587"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17</w:t>
            </w:r>
          </w:p>
        </w:tc>
        <w:tc>
          <w:tcPr>
            <w:tcW w:w="1822"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 xml:space="preserve">Generalizability  </w:t>
            </w:r>
            <w:r>
              <w:rPr>
                <w:rFonts w:eastAsia="Times New Roman" w:hint="eastAsia"/>
                <w:sz w:val="18"/>
                <w:szCs w:val="18"/>
                <w:lang w:val="en-GB" w:eastAsia="en-GB"/>
              </w:rPr>
              <w:t> </w:t>
            </w:r>
          </w:p>
        </w:tc>
        <w:tc>
          <w:tcPr>
            <w:tcW w:w="7025"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p>
        </w:tc>
        <w:tc>
          <w:tcPr>
            <w:tcW w:w="4336"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The GWAS data for this article was taken from a European population and therefore applies primarily to European populations.</w:t>
            </w:r>
          </w:p>
        </w:tc>
      </w:tr>
      <w:tr w:rsidR="00FF1499">
        <w:tc>
          <w:tcPr>
            <w:tcW w:w="587"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OTHER INFORMATION</w:t>
            </w:r>
          </w:p>
        </w:tc>
        <w:tc>
          <w:tcPr>
            <w:tcW w:w="7025" w:type="dxa"/>
            <w:tcBorders>
              <w:top w:val="single" w:sz="6" w:space="0" w:color="7F7F7F"/>
            </w:tcBorders>
            <w:shd w:val="clear" w:color="auto" w:fill="auto"/>
          </w:tcPr>
          <w:p w:rsidR="00FF1499" w:rsidRDefault="00FF1499" w:rsidP="00FF1499">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rsidR="00FF1499" w:rsidRDefault="00FF1499" w:rsidP="00FF1499">
            <w:pPr>
              <w:spacing w:beforeLines="40" w:before="96" w:afterLines="40" w:after="96" w:line="24" w:lineRule="atLeast"/>
              <w:rPr>
                <w:rFonts w:eastAsia="Cambria"/>
                <w:sz w:val="18"/>
                <w:szCs w:val="18"/>
                <w:lang w:val="en-GB" w:eastAsia="en-US"/>
              </w:rPr>
            </w:pPr>
          </w:p>
        </w:tc>
        <w:tc>
          <w:tcPr>
            <w:tcW w:w="4336" w:type="dxa"/>
            <w:tcBorders>
              <w:top w:val="single" w:sz="6" w:space="0" w:color="7F7F7F"/>
            </w:tcBorders>
          </w:tcPr>
          <w:p w:rsidR="00FF1499" w:rsidRDefault="00FF1499" w:rsidP="00FF1499">
            <w:pPr>
              <w:spacing w:beforeLines="40" w:before="96" w:afterLines="40" w:after="96" w:line="24" w:lineRule="atLeast"/>
              <w:rPr>
                <w:rFonts w:eastAsia="Cambria"/>
                <w:sz w:val="18"/>
                <w:szCs w:val="18"/>
                <w:lang w:val="en-GB" w:eastAsia="en-US"/>
              </w:rPr>
            </w:pPr>
          </w:p>
        </w:tc>
      </w:tr>
      <w:tr w:rsidR="00FF1499">
        <w:tc>
          <w:tcPr>
            <w:tcW w:w="587" w:type="dxa"/>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lastRenderedPageBreak/>
              <w:t>18</w:t>
            </w:r>
          </w:p>
        </w:tc>
        <w:tc>
          <w:tcPr>
            <w:tcW w:w="1822" w:type="dxa"/>
            <w:shd w:val="clear" w:color="auto" w:fill="EEEEEE"/>
          </w:tcPr>
          <w:p w:rsidR="00FF1499" w:rsidRDefault="00FF1499" w:rsidP="00FF1499">
            <w:pPr>
              <w:spacing w:beforeLines="40" w:before="96" w:afterLines="40" w:after="96" w:line="24" w:lineRule="atLeast"/>
              <w:rPr>
                <w:rFonts w:eastAsia="Cambria"/>
                <w:sz w:val="18"/>
                <w:szCs w:val="18"/>
                <w:lang w:val="en-GB" w:eastAsia="en-US"/>
              </w:rPr>
            </w:pPr>
            <w:r>
              <w:rPr>
                <w:rFonts w:eastAsia="Times New Roman" w:hint="eastAsia"/>
                <w:b/>
                <w:bCs/>
                <w:sz w:val="18"/>
                <w:szCs w:val="18"/>
                <w:lang w:val="en-GB" w:eastAsia="en-GB"/>
              </w:rPr>
              <w:t>Funding</w:t>
            </w:r>
          </w:p>
        </w:tc>
        <w:tc>
          <w:tcPr>
            <w:tcW w:w="7025"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rsidR="00FF1499" w:rsidRDefault="00FF1499" w:rsidP="00FF1499">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10</w:t>
            </w:r>
          </w:p>
        </w:tc>
        <w:tc>
          <w:tcPr>
            <w:tcW w:w="4336" w:type="dxa"/>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This research was funded by the Zhejiang Medical Science and Technology Project (Grant No. 2022507093, and Grant No. 2024KY230), and Hangzhou Health and Technology Project (Grant No. ZD20210043).</w:t>
            </w:r>
          </w:p>
        </w:tc>
      </w:tr>
      <w:tr w:rsidR="00FF1499">
        <w:tc>
          <w:tcPr>
            <w:tcW w:w="587" w:type="dxa"/>
            <w:shd w:val="clear" w:color="auto" w:fill="auto"/>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19</w:t>
            </w:r>
          </w:p>
        </w:tc>
        <w:tc>
          <w:tcPr>
            <w:tcW w:w="1822" w:type="dxa"/>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Data and data sharing </w:t>
            </w:r>
          </w:p>
        </w:tc>
        <w:tc>
          <w:tcPr>
            <w:tcW w:w="7025" w:type="dxa"/>
            <w:shd w:val="clear" w:color="auto" w:fill="auto"/>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rsidR="00FF1499" w:rsidRDefault="00FF1499" w:rsidP="00FF1499">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10</w:t>
            </w:r>
          </w:p>
        </w:tc>
        <w:tc>
          <w:tcPr>
            <w:tcW w:w="4336" w:type="dxa"/>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The research uses data that are publicly accessible and can be obtained via references in the manuscript.</w:t>
            </w:r>
          </w:p>
          <w:p w:rsidR="00FF1499" w:rsidRDefault="00FF1499" w:rsidP="00FF1499">
            <w:pPr>
              <w:spacing w:beforeLines="40" w:before="96" w:afterLines="40" w:after="96" w:line="24" w:lineRule="atLeast"/>
              <w:rPr>
                <w:rFonts w:eastAsia="Times New Roman"/>
                <w:sz w:val="18"/>
                <w:szCs w:val="18"/>
                <w:lang w:val="en-GB" w:eastAsia="en-GB"/>
              </w:rPr>
            </w:pPr>
          </w:p>
        </w:tc>
      </w:tr>
      <w:tr w:rsidR="00FF1499">
        <w:tc>
          <w:tcPr>
            <w:tcW w:w="587"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b/>
                <w:bCs/>
                <w:sz w:val="18"/>
                <w:szCs w:val="18"/>
                <w:lang w:val="en-GB" w:eastAsia="en-GB"/>
              </w:rPr>
            </w:pPr>
            <w:r>
              <w:rPr>
                <w:rFonts w:eastAsia="Times New Roman" w:hint="eastAsia"/>
                <w:sz w:val="18"/>
                <w:szCs w:val="18"/>
                <w:lang w:val="en-GB" w:eastAsia="en-GB"/>
              </w:rPr>
              <w:t>20</w:t>
            </w:r>
          </w:p>
        </w:tc>
        <w:tc>
          <w:tcPr>
            <w:tcW w:w="1822"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b/>
                <w:bCs/>
                <w:sz w:val="18"/>
                <w:szCs w:val="18"/>
                <w:lang w:val="en-GB" w:eastAsia="en-GB"/>
              </w:rPr>
              <w:t>Conflicts of Interest  </w:t>
            </w:r>
          </w:p>
        </w:tc>
        <w:tc>
          <w:tcPr>
            <w:tcW w:w="7025"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宋体"/>
                <w:sz w:val="18"/>
                <w:szCs w:val="18"/>
                <w:lang w:val="en-US" w:eastAsia="zh-CN"/>
              </w:rPr>
            </w:pPr>
            <w:r>
              <w:rPr>
                <w:rFonts w:eastAsia="宋体" w:hint="eastAsia"/>
                <w:sz w:val="18"/>
                <w:szCs w:val="18"/>
                <w:lang w:val="en-US" w:eastAsia="zh-CN"/>
              </w:rPr>
              <w:t>9</w:t>
            </w:r>
          </w:p>
        </w:tc>
        <w:tc>
          <w:tcPr>
            <w:tcW w:w="4336" w:type="dxa"/>
            <w:tcBorders>
              <w:bottom w:val="single" w:sz="6" w:space="0" w:color="7F7F7F"/>
            </w:tcBorders>
            <w:shd w:val="clear" w:color="auto" w:fill="EEEEEE"/>
          </w:tcPr>
          <w:p w:rsidR="00FF1499" w:rsidRDefault="00FF1499" w:rsidP="00FF1499">
            <w:pPr>
              <w:spacing w:beforeLines="40" w:before="96" w:afterLines="40" w:after="96" w:line="24" w:lineRule="atLeast"/>
              <w:rPr>
                <w:rFonts w:eastAsia="Times New Roman"/>
                <w:sz w:val="18"/>
                <w:szCs w:val="18"/>
                <w:lang w:val="en-GB" w:eastAsia="en-GB"/>
              </w:rPr>
            </w:pPr>
            <w:r>
              <w:rPr>
                <w:rFonts w:eastAsia="Times New Roman" w:hint="eastAsia"/>
                <w:sz w:val="18"/>
                <w:szCs w:val="18"/>
                <w:lang w:val="en-GB" w:eastAsia="en-GB"/>
              </w:rPr>
              <w:t>The author of the article affirms the absence of any conflict of interest.</w:t>
            </w:r>
          </w:p>
        </w:tc>
      </w:tr>
    </w:tbl>
    <w:p w:rsidR="00A76B1F" w:rsidRDefault="00000000">
      <w:pPr>
        <w:spacing w:before="240" w:after="240"/>
        <w:rPr>
          <w:sz w:val="19"/>
          <w:szCs w:val="19"/>
        </w:rPr>
      </w:pPr>
      <w:r>
        <w:rPr>
          <w:sz w:val="19"/>
          <w:szCs w:val="19"/>
        </w:rPr>
        <w:t>This checklist is copyrighted by the Equator Network under the Creative Commons Attribution 3.0 Unported (CC BY 3.0) license.</w:t>
      </w:r>
    </w:p>
    <w:p w:rsidR="00A76B1F" w:rsidRDefault="00000000">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rsidR="00A76B1F" w:rsidRDefault="00000000">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rsidR="00A76B1F" w:rsidRDefault="00000000">
      <w:pPr>
        <w:spacing w:before="240" w:after="240"/>
      </w:pPr>
      <w:r>
        <w:rPr>
          <w:sz w:val="19"/>
          <w:szCs w:val="19"/>
        </w:rPr>
        <w:fldChar w:fldCharType="end"/>
      </w:r>
    </w:p>
    <w:sectPr w:rsidR="00A76B1F">
      <w:footerReference w:type="even" r:id="rId15"/>
      <w:footerReference w:type="default" r:id="rId16"/>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6555" w:rsidRDefault="00666555">
      <w:pPr>
        <w:spacing w:line="240" w:lineRule="auto"/>
      </w:pPr>
      <w:r>
        <w:separator/>
      </w:r>
    </w:p>
  </w:endnote>
  <w:endnote w:type="continuationSeparator" w:id="0">
    <w:p w:rsidR="00666555" w:rsidRDefault="006665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6B1F" w:rsidRDefault="00A76B1F">
    <w:pPr>
      <w:pStyle w:val="a3"/>
      <w:framePr w:wrap="auto" w:vAnchor="text" w:hAnchor="margin" w:xAlign="right" w:y="1"/>
      <w:rPr>
        <w:rStyle w:val="a5"/>
      </w:rPr>
    </w:pPr>
  </w:p>
  <w:p w:rsidR="00A76B1F" w:rsidRDefault="00A76B1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6B1F" w:rsidRDefault="00000000">
    <w:pPr>
      <w:pStyle w:val="a3"/>
      <w:jc w:val="right"/>
    </w:pPr>
    <w:r>
      <w:fldChar w:fldCharType="begin"/>
    </w:r>
    <w:r>
      <w:instrText xml:space="preserve"> PAGE   \* MERGEFORMAT </w:instrText>
    </w:r>
    <w:r>
      <w:fldChar w:fldCharType="separate"/>
    </w:r>
    <w:r>
      <w:t>1</w:t>
    </w:r>
    <w:r>
      <w:fldChar w:fldCharType="end"/>
    </w:r>
  </w:p>
  <w:p w:rsidR="00A76B1F" w:rsidRDefault="00A76B1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6555" w:rsidRDefault="00666555">
      <w:r>
        <w:separator/>
      </w:r>
    </w:p>
  </w:footnote>
  <w:footnote w:type="continuationSeparator" w:id="0">
    <w:p w:rsidR="00666555" w:rsidRDefault="006665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defaultTabStop w:val="720"/>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FB76E311"/>
    <w:rsid w:val="FDDE90E9"/>
    <w:rsid w:val="000A4CE8"/>
    <w:rsid w:val="002663E6"/>
    <w:rsid w:val="00351A4D"/>
    <w:rsid w:val="003D447D"/>
    <w:rsid w:val="003D47DD"/>
    <w:rsid w:val="004B5CBB"/>
    <w:rsid w:val="004E11D4"/>
    <w:rsid w:val="00514462"/>
    <w:rsid w:val="005520ED"/>
    <w:rsid w:val="005A0D0D"/>
    <w:rsid w:val="00666555"/>
    <w:rsid w:val="00685D31"/>
    <w:rsid w:val="006912BF"/>
    <w:rsid w:val="006A41D0"/>
    <w:rsid w:val="006B08D5"/>
    <w:rsid w:val="00804498"/>
    <w:rsid w:val="00914C56"/>
    <w:rsid w:val="00950729"/>
    <w:rsid w:val="009854A9"/>
    <w:rsid w:val="009E033F"/>
    <w:rsid w:val="00A76B1F"/>
    <w:rsid w:val="00BB6328"/>
    <w:rsid w:val="00CF7184"/>
    <w:rsid w:val="00D65199"/>
    <w:rsid w:val="00D8098C"/>
    <w:rsid w:val="00ED48A3"/>
    <w:rsid w:val="00EF4B94"/>
    <w:rsid w:val="00FF1499"/>
    <w:rsid w:val="36BF24C9"/>
    <w:rsid w:val="4F6B39BA"/>
    <w:rsid w:val="5FFD535A"/>
    <w:rsid w:val="7FFFF7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BEB609B"/>
  <w15:docId w15:val="{BF89B286-BF16-E14E-874B-F8D2367A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line="276" w:lineRule="auto"/>
    </w:pPr>
    <w:rPr>
      <w:rFonts w:ascii="Arial" w:eastAsia="Arial" w:hAnsi="Arial" w:cs="Arial"/>
      <w:sz w:val="22"/>
      <w:szCs w:val="22"/>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80"/>
        <w:tab w:val="right" w:pos="9360"/>
      </w:tabs>
      <w:spacing w:line="240" w:lineRule="auto"/>
    </w:pPr>
  </w:style>
  <w:style w:type="character" w:styleId="a5">
    <w:name w:val="page number"/>
    <w:basedOn w:val="a0"/>
    <w:uiPriority w:val="99"/>
    <w:semiHidden/>
    <w:unhideWhenUsed/>
  </w:style>
  <w:style w:type="character" w:styleId="a6">
    <w:name w:val="line number"/>
    <w:basedOn w:val="a0"/>
    <w:uiPriority w:val="99"/>
    <w:semiHidden/>
    <w:unhideWhenUsed/>
  </w:style>
  <w:style w:type="character" w:styleId="a7">
    <w:name w:val="annotation reference"/>
    <w:basedOn w:val="a0"/>
    <w:uiPriority w:val="99"/>
    <w:semiHidden/>
    <w:unhideWhenUsed/>
    <w:rPr>
      <w:sz w:val="21"/>
      <w:szCs w:val="21"/>
    </w:rPr>
  </w:style>
  <w:style w:type="character" w:customStyle="1" w:styleId="a4">
    <w:name w:val="页脚 字符"/>
    <w:basedOn w:val="a0"/>
    <w:link w:val="a3"/>
    <w:uiPriority w:val="99"/>
    <w:rPr>
      <w:rFonts w:ascii="Arial" w:eastAsia="Arial" w:hAnsi="Arial" w:cs="Arial"/>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16</Pages>
  <Words>4902</Words>
  <Characters>27946</Characters>
  <Application>Microsoft Office Word</Application>
  <DocSecurity>0</DocSecurity>
  <Lines>232</Lines>
  <Paragraphs>65</Paragraphs>
  <ScaleCrop>false</ScaleCrop>
  <Company>University of Bern</Company>
  <LinksUpToDate>false</LinksUpToDate>
  <CharactersWithSpaces>32783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Whitesell, Veronika (ISPM)</dc:creator>
  <cp:lastModifiedBy>Microsoft Office User</cp:lastModifiedBy>
  <cp:revision>5</cp:revision>
  <cp:lastPrinted>2021-09-29T07:08:00Z</cp:lastPrinted>
  <dcterms:created xsi:type="dcterms:W3CDTF">2022-04-08T08:09:00Z</dcterms:created>
  <dcterms:modified xsi:type="dcterms:W3CDTF">2024-05-19T14:27:00Z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2052-6.7.1.8828</vt:lpwstr>
  </property>
  <property fmtid="{D5CDD505-2E9C-101B-9397-08002B2CF9AE}" pid="27" name="ICV">
    <vt:lpwstr>4B1A0936A0F6F83EEADE48669E3C81DE_42</vt:lpwstr>
  </property>
</Properties>
</file>