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5A9DBDC8">
      <w:pPr>
        <w:jc w:val="center"/>
        <w:rPr>
          <w:rFonts w:ascii="Times New Roman" w:hAnsi="Times New Roman" w:cs="Times New Roman" w:eastAsiaTheme="majorEastAsia"/>
          <w:b/>
          <w:bCs/>
          <w:color w:val="auto"/>
          <w:spacing w:val="-10"/>
          <w:kern w:val="28"/>
        </w:rPr>
      </w:pPr>
      <w:r>
        <w:rPr>
          <w:rFonts w:ascii="Times New Roman" w:hAnsi="Times New Roman" w:cs="Times New Roman" w:eastAsiaTheme="majorEastAsia"/>
          <w:b/>
          <w:bCs/>
          <w:color w:val="auto"/>
          <w:spacing w:val="-10"/>
          <w:kern w:val="28"/>
        </w:rPr>
        <w:t xml:space="preserve">Morphological Phenotype of Right </w:t>
      </w:r>
      <w:bookmarkStart w:id="2" w:name="_GoBack"/>
      <w:bookmarkEnd w:id="2"/>
      <w:r>
        <w:rPr>
          <w:rFonts w:ascii="Times New Roman" w:hAnsi="Times New Roman" w:cs="Times New Roman" w:eastAsiaTheme="majorEastAsia"/>
          <w:b/>
          <w:bCs/>
          <w:color w:val="auto"/>
          <w:spacing w:val="-10"/>
          <w:kern w:val="28"/>
        </w:rPr>
        <w:t>Ventricular Outflow Tract Is Associated with Cardiovascular Outcomes and Premature Death</w:t>
      </w:r>
    </w:p>
    <w:p w14:paraId="2A38421C">
      <w:pPr>
        <w:jc w:val="center"/>
        <w:rPr>
          <w:rFonts w:ascii="Times New Roman" w:hAnsi="Times New Roman" w:cs="Times New Roman"/>
          <w:b/>
          <w:bCs/>
          <w:color w:val="auto"/>
        </w:rPr>
      </w:pPr>
    </w:p>
    <w:p w14:paraId="6A054A1B">
      <w:pPr>
        <w:jc w:val="center"/>
        <w:rPr>
          <w:rFonts w:ascii="Times New Roman" w:hAnsi="Times New Roman" w:cs="Times New Roman"/>
          <w:b/>
          <w:bCs/>
          <w:color w:val="auto"/>
          <w:lang w:eastAsia="zh-CN"/>
        </w:rPr>
      </w:pPr>
      <w:r>
        <w:rPr>
          <w:rFonts w:ascii="Times New Roman" w:hAnsi="Times New Roman" w:cs="Times New Roman"/>
          <w:b/>
          <w:bCs/>
          <w:color w:val="auto"/>
          <w:lang w:eastAsia="zh-CN"/>
        </w:rPr>
        <w:t>Supplemental Material</w:t>
      </w:r>
    </w:p>
    <w:sdt>
      <w:sdtPr>
        <w:rPr>
          <w:rFonts w:asciiTheme="minorHAnsi" w:hAnsiTheme="minorHAnsi" w:eastAsiaTheme="minorEastAsia" w:cstheme="minorBidi"/>
          <w:color w:val="auto"/>
          <w:sz w:val="24"/>
          <w:szCs w:val="24"/>
          <w:lang w:val="zh-CN" w:eastAsia="en-US"/>
        </w:rPr>
        <w:id w:val="631378127"/>
        <w:docPartObj>
          <w:docPartGallery w:val="Table of Contents"/>
          <w:docPartUnique/>
        </w:docPartObj>
      </w:sdtPr>
      <w:sdtEndPr>
        <w:rPr>
          <w:rFonts w:asciiTheme="minorHAnsi" w:hAnsiTheme="minorHAnsi" w:eastAsiaTheme="minorEastAsia" w:cstheme="minorBidi"/>
          <w:b/>
          <w:color w:val="auto"/>
          <w:sz w:val="24"/>
          <w:szCs w:val="24"/>
          <w:lang w:val="zh-CN" w:eastAsia="en-US"/>
        </w:rPr>
      </w:sdtEndPr>
      <w:sdtContent>
        <w:p w14:paraId="60161F22">
          <w:pPr>
            <w:pStyle w:val="56"/>
            <w:spacing w:line="240" w:lineRule="auto"/>
            <w:jc w:val="both"/>
            <w:rPr>
              <w:b/>
              <w:bCs/>
              <w:color w:val="auto"/>
              <w:sz w:val="24"/>
              <w:szCs w:val="24"/>
            </w:rPr>
          </w:pPr>
          <w:r>
            <w:rPr>
              <w:rFonts w:ascii="Times New Roman" w:hAnsi="Times New Roman" w:cs="Times New Roman"/>
              <w:b/>
              <w:bCs/>
              <w:color w:val="auto"/>
              <w:sz w:val="24"/>
              <w:szCs w:val="24"/>
            </w:rPr>
            <w:t>Methods.</w:t>
          </w:r>
          <w:r>
            <w:rPr>
              <w:rFonts w:ascii="Times New Roman" w:hAnsi="Times New Roman"/>
              <w:color w:val="auto"/>
              <w:sz w:val="24"/>
              <w:szCs w:val="24"/>
            </w:rPr>
            <w:t xml:space="preserve"> </w:t>
          </w:r>
          <w:r>
            <w:rPr>
              <w:rFonts w:ascii="Times New Roman" w:hAnsi="Times New Roman" w:cs="Times New Roman"/>
              <w:color w:val="auto"/>
              <w:sz w:val="24"/>
              <w:szCs w:val="24"/>
            </w:rPr>
            <w:t>Supplemental Methods</w:t>
          </w:r>
          <w:r>
            <w:rPr>
              <w:color w:val="auto"/>
              <w:sz w:val="24"/>
              <w:szCs w:val="24"/>
            </w:rPr>
            <w:t xml:space="preserve"> </w:t>
          </w:r>
          <w:r>
            <w:rPr>
              <w:color w:val="auto"/>
              <w:sz w:val="24"/>
              <w:szCs w:val="24"/>
            </w:rPr>
            <w:ptab w:relativeTo="margin" w:alignment="right" w:leader="dot"/>
          </w:r>
          <w:r>
            <w:rPr>
              <w:rFonts w:ascii="Times New Roman" w:hAnsi="Times New Roman" w:cs="Times New Roman"/>
              <w:bCs/>
              <w:color w:val="auto"/>
              <w:sz w:val="24"/>
              <w:szCs w:val="24"/>
            </w:rPr>
            <w:t>2</w:t>
          </w:r>
        </w:p>
        <w:p w14:paraId="446ED31A">
          <w:pPr>
            <w:jc w:val="both"/>
            <w:rPr>
              <w:color w:val="auto"/>
              <w:lang w:eastAsia="zh-CN"/>
            </w:rPr>
          </w:pPr>
        </w:p>
        <w:p w14:paraId="4DC0B705">
          <w:pPr>
            <w:jc w:val="both"/>
            <w:rPr>
              <w:rFonts w:ascii="Times New Roman" w:hAnsi="Times New Roman" w:cs="Times New Roman"/>
              <w:bCs/>
              <w:color w:val="auto"/>
            </w:rPr>
          </w:pPr>
          <w:r>
            <w:rPr>
              <w:rFonts w:ascii="Times New Roman" w:hAnsi="Times New Roman" w:cs="Times New Roman"/>
              <w:b/>
              <w:bCs/>
              <w:color w:val="auto"/>
            </w:rPr>
            <w:t xml:space="preserve">Table S1. </w:t>
          </w:r>
          <w:r>
            <w:rPr>
              <w:rFonts w:ascii="Times New Roman" w:hAnsi="Times New Roman" w:cs="Times New Roman"/>
              <w:bCs/>
              <w:color w:val="auto"/>
            </w:rPr>
            <w:t xml:space="preserve">Morphological Statistics of RVOT </w:t>
          </w:r>
          <w:r>
            <w:rPr>
              <w:rFonts w:hint="eastAsia" w:ascii="Times New Roman" w:hAnsi="Times New Roman" w:cs="Times New Roman"/>
              <w:bCs/>
              <w:color w:val="auto"/>
            </w:rPr>
            <w:t xml:space="preserve">in Stage </w:t>
          </w:r>
          <w:r>
            <w:rPr>
              <w:rFonts w:ascii="Times New Roman" w:hAnsi="Times New Roman" w:cs="Times New Roman"/>
              <w:bCs/>
              <w:color w:val="auto"/>
            </w:rPr>
            <w:t>O</w:t>
          </w:r>
          <w:r>
            <w:rPr>
              <w:rFonts w:hint="eastAsia" w:ascii="Times New Roman" w:hAnsi="Times New Roman" w:cs="Times New Roman"/>
              <w:bCs/>
              <w:color w:val="auto"/>
            </w:rPr>
            <w:t>ne</w:t>
          </w:r>
          <w:r>
            <w:rPr>
              <w:color w:val="auto"/>
            </w:rPr>
            <w:ptab w:relativeTo="margin" w:alignment="right" w:leader="dot"/>
          </w:r>
          <w:r>
            <w:rPr>
              <w:rFonts w:ascii="Times New Roman" w:hAnsi="Times New Roman" w:cs="Times New Roman"/>
              <w:color w:val="auto"/>
            </w:rPr>
            <w:t>4</w:t>
          </w:r>
        </w:p>
        <w:p w14:paraId="07561D0D">
          <w:pPr>
            <w:pStyle w:val="8"/>
            <w:spacing w:line="240" w:lineRule="auto"/>
            <w:jc w:val="both"/>
            <w:rPr>
              <w:b w:val="0"/>
              <w:color w:val="auto"/>
            </w:rPr>
          </w:pPr>
          <w:r>
            <w:rPr>
              <w:color w:val="auto"/>
            </w:rPr>
            <w:t xml:space="preserve">Table S2. </w:t>
          </w:r>
          <w:r>
            <w:rPr>
              <w:b w:val="0"/>
              <w:color w:val="auto"/>
            </w:rPr>
            <w:t xml:space="preserve">Logistic Regression Analysis of Association of CVDs Morbidity with Other Characteristics in Stage One </w:t>
          </w:r>
          <w:r>
            <w:rPr>
              <w:b w:val="0"/>
              <w:color w:val="auto"/>
            </w:rPr>
            <w:ptab w:relativeTo="margin" w:alignment="right" w:leader="dot"/>
          </w:r>
          <w:r>
            <w:rPr>
              <w:b w:val="0"/>
              <w:color w:val="auto"/>
            </w:rPr>
            <w:t>5</w:t>
          </w:r>
        </w:p>
        <w:p w14:paraId="2E54CAC8">
          <w:pPr>
            <w:pStyle w:val="8"/>
            <w:spacing w:line="240" w:lineRule="auto"/>
            <w:jc w:val="both"/>
            <w:rPr>
              <w:b w:val="0"/>
              <w:color w:val="auto"/>
            </w:rPr>
          </w:pPr>
          <w:r>
            <w:rPr>
              <w:color w:val="auto"/>
            </w:rPr>
            <w:t xml:space="preserve">Table S3. </w:t>
          </w:r>
          <w:r>
            <w:rPr>
              <w:b w:val="0"/>
              <w:color w:val="auto"/>
            </w:rPr>
            <w:t xml:space="preserve">Logistic Regression Analysis of Association of CVDs Morbidity with pSBV in Stage Two </w:t>
          </w:r>
          <w:r>
            <w:rPr>
              <w:b w:val="0"/>
              <w:color w:val="auto"/>
            </w:rPr>
            <w:ptab w:relativeTo="margin" w:alignment="right" w:leader="dot"/>
          </w:r>
          <w:r>
            <w:rPr>
              <w:b w:val="0"/>
              <w:color w:val="auto"/>
            </w:rPr>
            <w:t>6</w:t>
          </w:r>
        </w:p>
        <w:p w14:paraId="70729F2B">
          <w:pPr>
            <w:pStyle w:val="8"/>
            <w:spacing w:line="240" w:lineRule="auto"/>
            <w:jc w:val="both"/>
            <w:rPr>
              <w:b w:val="0"/>
              <w:color w:val="auto"/>
            </w:rPr>
          </w:pPr>
          <w:r>
            <w:rPr>
              <w:color w:val="auto"/>
            </w:rPr>
            <w:t xml:space="preserve">Table S4. </w:t>
          </w:r>
          <w:r>
            <w:rPr>
              <w:b w:val="0"/>
              <w:color w:val="auto"/>
            </w:rPr>
            <w:t xml:space="preserve">Logistic Regression Analysis of Association of CAS Morbidity with pSBV in Stage Two </w:t>
          </w:r>
          <w:r>
            <w:rPr>
              <w:b w:val="0"/>
              <w:color w:val="auto"/>
            </w:rPr>
            <w:ptab w:relativeTo="margin" w:alignment="right" w:leader="dot"/>
          </w:r>
          <w:r>
            <w:rPr>
              <w:b w:val="0"/>
              <w:color w:val="auto"/>
            </w:rPr>
            <w:t>7</w:t>
          </w:r>
        </w:p>
        <w:p w14:paraId="3A0778A8">
          <w:pPr>
            <w:pStyle w:val="8"/>
            <w:spacing w:line="240" w:lineRule="auto"/>
            <w:jc w:val="both"/>
            <w:rPr>
              <w:rFonts w:hint="eastAsia" w:eastAsiaTheme="minorEastAsia"/>
              <w:color w:val="auto"/>
              <w:lang w:val="en-US" w:eastAsia="zh-CN"/>
            </w:rPr>
          </w:pPr>
          <w:r>
            <w:rPr>
              <w:color w:val="auto"/>
            </w:rPr>
            <w:t>Table S</w:t>
          </w:r>
          <w:r>
            <w:rPr>
              <w:rFonts w:hint="eastAsia"/>
              <w:color w:val="auto"/>
              <w:lang w:val="en-US" w:eastAsia="zh-CN"/>
            </w:rPr>
            <w:t xml:space="preserve">5. </w:t>
          </w:r>
          <w:r>
            <w:rPr>
              <w:b w:val="0"/>
              <w:color w:val="auto"/>
            </w:rPr>
            <w:t xml:space="preserve">Logistic Regression Analysis of Association of </w:t>
          </w:r>
          <w:r>
            <w:rPr>
              <w:rFonts w:hint="eastAsia"/>
              <w:b w:val="0"/>
              <w:color w:val="auto"/>
            </w:rPr>
            <w:t>CM</w:t>
          </w:r>
          <w:r>
            <w:rPr>
              <w:b w:val="0"/>
              <w:color w:val="auto"/>
            </w:rPr>
            <w:t xml:space="preserve"> Morbidity with pSBV in Stage Two </w:t>
          </w:r>
          <w:r>
            <w:rPr>
              <w:b w:val="0"/>
              <w:color w:val="auto"/>
            </w:rPr>
            <w:ptab w:relativeTo="margin" w:alignment="right" w:leader="dot"/>
          </w:r>
          <w:r>
            <w:rPr>
              <w:rFonts w:hint="eastAsia"/>
              <w:b w:val="0"/>
              <w:color w:val="auto"/>
              <w:lang w:val="en-US" w:eastAsia="zh-CN"/>
            </w:rPr>
            <w:t>8</w:t>
          </w:r>
        </w:p>
        <w:p w14:paraId="1D2AA780">
          <w:pPr>
            <w:pStyle w:val="8"/>
            <w:spacing w:line="240" w:lineRule="auto"/>
            <w:jc w:val="both"/>
            <w:rPr>
              <w:rFonts w:hint="eastAsia" w:eastAsiaTheme="minorEastAsia"/>
              <w:b w:val="0"/>
              <w:color w:val="auto"/>
              <w:lang w:val="en-US" w:eastAsia="zh-CN"/>
            </w:rPr>
          </w:pPr>
          <w:r>
            <w:rPr>
              <w:color w:val="auto"/>
            </w:rPr>
            <w:t>Table S</w:t>
          </w:r>
          <w:r>
            <w:rPr>
              <w:rFonts w:hint="eastAsia"/>
              <w:color w:val="auto"/>
              <w:lang w:val="en-US" w:eastAsia="zh-CN"/>
            </w:rPr>
            <w:t>6</w:t>
          </w:r>
          <w:r>
            <w:rPr>
              <w:color w:val="auto"/>
            </w:rPr>
            <w:t xml:space="preserve">. </w:t>
          </w:r>
          <w:r>
            <w:rPr>
              <w:rFonts w:eastAsia="宋体"/>
              <w:b w:val="0"/>
              <w:color w:val="auto"/>
              <w:kern w:val="2"/>
            </w:rPr>
            <w:t xml:space="preserve">Logistic Regression Analysis of Association of SCD Mortality with pSBV in Stage Two </w:t>
          </w:r>
          <w:r>
            <w:rPr>
              <w:b w:val="0"/>
              <w:color w:val="auto"/>
            </w:rPr>
            <w:ptab w:relativeTo="margin" w:alignment="right" w:leader="dot"/>
          </w:r>
          <w:r>
            <w:rPr>
              <w:rFonts w:hint="eastAsia"/>
              <w:b w:val="0"/>
              <w:color w:val="auto"/>
              <w:lang w:val="en-US" w:eastAsia="zh-CN"/>
            </w:rPr>
            <w:t>9</w:t>
          </w:r>
        </w:p>
        <w:p w14:paraId="46DCFE71">
          <w:pPr>
            <w:pStyle w:val="8"/>
            <w:spacing w:line="240" w:lineRule="auto"/>
            <w:jc w:val="both"/>
            <w:rPr>
              <w:rFonts w:hint="default" w:eastAsiaTheme="minorEastAsia"/>
              <w:b w:val="0"/>
              <w:color w:val="auto"/>
              <w:lang w:val="en-US" w:eastAsia="zh-CN"/>
            </w:rPr>
          </w:pPr>
          <w:r>
            <w:rPr>
              <w:color w:val="auto"/>
            </w:rPr>
            <w:t>Table S</w:t>
          </w:r>
          <w:r>
            <w:rPr>
              <w:rFonts w:hint="eastAsia"/>
              <w:color w:val="auto"/>
              <w:lang w:val="en-US" w:eastAsia="zh-CN"/>
            </w:rPr>
            <w:t>7</w:t>
          </w:r>
          <w:r>
            <w:rPr>
              <w:color w:val="auto"/>
            </w:rPr>
            <w:t xml:space="preserve">. </w:t>
          </w:r>
          <w:r>
            <w:rPr>
              <w:b w:val="0"/>
              <w:color w:val="auto"/>
            </w:rPr>
            <w:t xml:space="preserve">Logistic Regression Analysis of Association of SCD Mortality with tS </w:t>
          </w:r>
          <w:r>
            <w:rPr>
              <w:b w:val="0"/>
              <w:color w:val="auto"/>
            </w:rPr>
            <w:ptab w:relativeTo="margin" w:alignment="right" w:leader="dot"/>
          </w:r>
          <w:r>
            <w:rPr>
              <w:rFonts w:hint="eastAsia"/>
              <w:b w:val="0"/>
              <w:color w:val="auto"/>
              <w:lang w:val="en-US" w:eastAsia="zh-CN"/>
            </w:rPr>
            <w:t>10</w:t>
          </w:r>
        </w:p>
        <w:p w14:paraId="3AE6F25A">
          <w:pPr>
            <w:pStyle w:val="8"/>
            <w:spacing w:line="240" w:lineRule="auto"/>
            <w:jc w:val="both"/>
            <w:rPr>
              <w:rFonts w:hint="eastAsia" w:eastAsiaTheme="minorEastAsia"/>
              <w:b w:val="0"/>
              <w:color w:val="auto"/>
              <w:lang w:val="en-US" w:eastAsia="zh-CN"/>
            </w:rPr>
          </w:pPr>
          <w:r>
            <w:rPr>
              <w:color w:val="auto"/>
            </w:rPr>
            <w:t>Table S</w:t>
          </w:r>
          <w:r>
            <w:rPr>
              <w:rFonts w:hint="eastAsia"/>
              <w:color w:val="auto"/>
              <w:lang w:val="en-US" w:eastAsia="zh-CN"/>
            </w:rPr>
            <w:t>8</w:t>
          </w:r>
          <w:r>
            <w:rPr>
              <w:color w:val="auto"/>
            </w:rPr>
            <w:t xml:space="preserve">. </w:t>
          </w:r>
          <w:r>
            <w:rPr>
              <w:rFonts w:eastAsia="宋体"/>
              <w:b w:val="0"/>
              <w:color w:val="auto"/>
              <w:kern w:val="2"/>
            </w:rPr>
            <w:t xml:space="preserve">Logistic Regression Analysis of Association of SCD Mortality with Other Characteristics in Stage One </w:t>
          </w:r>
          <w:r>
            <w:rPr>
              <w:b w:val="0"/>
              <w:color w:val="auto"/>
            </w:rPr>
            <w:ptab w:relativeTo="margin" w:alignment="right" w:leader="dot"/>
          </w:r>
          <w:r>
            <w:rPr>
              <w:b w:val="0"/>
              <w:color w:val="auto"/>
            </w:rPr>
            <w:t>1</w:t>
          </w:r>
          <w:r>
            <w:rPr>
              <w:rFonts w:hint="eastAsia"/>
              <w:b w:val="0"/>
              <w:color w:val="auto"/>
              <w:lang w:val="en-US" w:eastAsia="zh-CN"/>
            </w:rPr>
            <w:t>1</w:t>
          </w:r>
        </w:p>
        <w:p w14:paraId="5D3A7D89">
          <w:pPr>
            <w:pStyle w:val="8"/>
            <w:spacing w:line="240" w:lineRule="auto"/>
            <w:jc w:val="both"/>
            <w:rPr>
              <w:rFonts w:hint="eastAsia" w:eastAsiaTheme="minorEastAsia"/>
              <w:b w:val="0"/>
              <w:color w:val="auto"/>
              <w:lang w:val="en-US" w:eastAsia="zh-CN"/>
            </w:rPr>
          </w:pPr>
          <w:r>
            <w:rPr>
              <w:color w:val="auto"/>
            </w:rPr>
            <w:t>Table S</w:t>
          </w:r>
          <w:r>
            <w:rPr>
              <w:rFonts w:hint="eastAsia"/>
              <w:color w:val="auto"/>
              <w:lang w:val="en-US" w:eastAsia="zh-CN"/>
            </w:rPr>
            <w:t>9</w:t>
          </w:r>
          <w:r>
            <w:rPr>
              <w:color w:val="auto"/>
            </w:rPr>
            <w:t xml:space="preserve">. </w:t>
          </w:r>
          <w:r>
            <w:rPr>
              <w:rFonts w:eastAsia="宋体"/>
              <w:b w:val="0"/>
              <w:color w:val="auto"/>
              <w:kern w:val="2"/>
            </w:rPr>
            <w:t>Comparison of Age at Death in Disease-Dominant Death and SCD Groups</w:t>
          </w:r>
          <w:r>
            <w:rPr>
              <w:b w:val="0"/>
              <w:color w:val="auto"/>
            </w:rPr>
            <w:t xml:space="preserve"> </w:t>
          </w:r>
          <w:r>
            <w:rPr>
              <w:b w:val="0"/>
              <w:color w:val="auto"/>
            </w:rPr>
            <w:ptab w:relativeTo="margin" w:alignment="right" w:leader="dot"/>
          </w:r>
          <w:r>
            <w:rPr>
              <w:b w:val="0"/>
              <w:color w:val="auto"/>
            </w:rPr>
            <w:t>1</w:t>
          </w:r>
          <w:r>
            <w:rPr>
              <w:rFonts w:hint="eastAsia"/>
              <w:b w:val="0"/>
              <w:color w:val="auto"/>
              <w:lang w:val="en-US" w:eastAsia="zh-CN"/>
            </w:rPr>
            <w:t>2</w:t>
          </w:r>
        </w:p>
        <w:p w14:paraId="1413D540">
          <w:pPr>
            <w:pStyle w:val="8"/>
            <w:spacing w:line="240" w:lineRule="auto"/>
            <w:jc w:val="both"/>
            <w:rPr>
              <w:rFonts w:hint="eastAsia" w:eastAsiaTheme="minorEastAsia"/>
              <w:b w:val="0"/>
              <w:color w:val="auto"/>
              <w:lang w:val="en-US" w:eastAsia="zh-CN"/>
            </w:rPr>
          </w:pPr>
          <w:r>
            <w:rPr>
              <w:color w:val="auto"/>
            </w:rPr>
            <w:t>Table S</w:t>
          </w:r>
          <w:r>
            <w:rPr>
              <w:rFonts w:hint="eastAsia"/>
              <w:color w:val="auto"/>
              <w:lang w:val="en-US" w:eastAsia="zh-CN"/>
            </w:rPr>
            <w:t>10</w:t>
          </w:r>
          <w:r>
            <w:rPr>
              <w:color w:val="auto"/>
            </w:rPr>
            <w:t xml:space="preserve">. </w:t>
          </w:r>
          <w:r>
            <w:rPr>
              <w:b w:val="0"/>
              <w:color w:val="auto"/>
            </w:rPr>
            <w:t>Multivariate</w:t>
          </w:r>
          <w:r>
            <w:rPr>
              <w:color w:val="auto"/>
            </w:rPr>
            <w:t xml:space="preserve"> </w:t>
          </w:r>
          <w:r>
            <w:rPr>
              <w:b w:val="0"/>
              <w:color w:val="auto"/>
            </w:rPr>
            <w:t xml:space="preserve">Linear Regression Analysis for Age at Death in SCD Group </w:t>
          </w:r>
          <w:r>
            <w:rPr>
              <w:b w:val="0"/>
              <w:color w:val="auto"/>
            </w:rPr>
            <w:ptab w:relativeTo="margin" w:alignment="right" w:leader="dot"/>
          </w:r>
          <w:r>
            <w:rPr>
              <w:b w:val="0"/>
              <w:color w:val="auto"/>
            </w:rPr>
            <w:t>1</w:t>
          </w:r>
          <w:r>
            <w:rPr>
              <w:rFonts w:hint="eastAsia"/>
              <w:b w:val="0"/>
              <w:color w:val="auto"/>
              <w:lang w:val="en-US" w:eastAsia="zh-CN"/>
            </w:rPr>
            <w:t>3</w:t>
          </w:r>
        </w:p>
        <w:p w14:paraId="2A4FA45D">
          <w:pPr>
            <w:pStyle w:val="8"/>
            <w:spacing w:line="240" w:lineRule="auto"/>
            <w:jc w:val="both"/>
            <w:rPr>
              <w:rFonts w:hint="eastAsia" w:eastAsiaTheme="minorEastAsia"/>
              <w:b w:val="0"/>
              <w:color w:val="auto"/>
              <w:lang w:val="en-US" w:eastAsia="zh-CN"/>
            </w:rPr>
          </w:pPr>
          <w:r>
            <w:rPr>
              <w:color w:val="auto"/>
            </w:rPr>
            <w:t>Table S</w:t>
          </w:r>
          <w:r>
            <w:rPr>
              <w:color w:val="auto"/>
            </w:rPr>
            <w:t>1</w:t>
          </w:r>
          <w:r>
            <w:rPr>
              <w:rFonts w:hint="eastAsia"/>
              <w:color w:val="auto"/>
              <w:lang w:val="en-US" w:eastAsia="zh-CN"/>
            </w:rPr>
            <w:t>1</w:t>
          </w:r>
          <w:r>
            <w:rPr>
              <w:color w:val="auto"/>
            </w:rPr>
            <w:t xml:space="preserve">. </w:t>
          </w:r>
          <w:r>
            <w:rPr>
              <w:rFonts w:eastAsia="宋体"/>
              <w:b w:val="0"/>
              <w:color w:val="auto"/>
              <w:kern w:val="2"/>
            </w:rPr>
            <w:t>Comparison of the Training, Validation and Test Cohort</w:t>
          </w:r>
          <w:r>
            <w:rPr>
              <w:rFonts w:hint="eastAsia" w:eastAsia="宋体"/>
              <w:b w:val="0"/>
              <w:color w:val="auto"/>
              <w:kern w:val="2"/>
            </w:rPr>
            <w:t>s</w:t>
          </w:r>
          <w:r>
            <w:rPr>
              <w:b w:val="0"/>
              <w:color w:val="auto"/>
            </w:rPr>
            <w:t xml:space="preserve"> </w:t>
          </w:r>
          <w:r>
            <w:rPr>
              <w:b w:val="0"/>
              <w:color w:val="auto"/>
            </w:rPr>
            <w:ptab w:relativeTo="margin" w:alignment="right" w:leader="dot"/>
          </w:r>
          <w:r>
            <w:rPr>
              <w:b w:val="0"/>
              <w:color w:val="auto"/>
            </w:rPr>
            <w:t>1</w:t>
          </w:r>
          <w:r>
            <w:rPr>
              <w:rFonts w:hint="eastAsia"/>
              <w:b w:val="0"/>
              <w:color w:val="auto"/>
              <w:lang w:val="en-US" w:eastAsia="zh-CN"/>
            </w:rPr>
            <w:t>4</w:t>
          </w:r>
        </w:p>
        <w:p w14:paraId="11577B6B">
          <w:pPr>
            <w:pStyle w:val="8"/>
            <w:spacing w:line="240" w:lineRule="auto"/>
            <w:jc w:val="both"/>
            <w:rPr>
              <w:rFonts w:hint="eastAsia" w:eastAsiaTheme="minorEastAsia"/>
              <w:bCs w:val="0"/>
              <w:color w:val="auto"/>
              <w:lang w:val="en-US" w:eastAsia="zh-CN"/>
            </w:rPr>
          </w:pPr>
          <w:r>
            <w:rPr>
              <w:bCs w:val="0"/>
              <w:color w:val="auto"/>
            </w:rPr>
            <w:t>Table S</w:t>
          </w:r>
          <w:r>
            <w:rPr>
              <w:bCs w:val="0"/>
              <w:color w:val="auto"/>
            </w:rPr>
            <w:t>1</w:t>
          </w:r>
          <w:r>
            <w:rPr>
              <w:rFonts w:hint="eastAsia"/>
              <w:bCs w:val="0"/>
              <w:color w:val="auto"/>
              <w:lang w:val="en-US" w:eastAsia="zh-CN"/>
            </w:rPr>
            <w:t>2</w:t>
          </w:r>
          <w:r>
            <w:rPr>
              <w:bCs w:val="0"/>
              <w:color w:val="auto"/>
            </w:rPr>
            <w:t xml:space="preserve">. </w:t>
          </w:r>
          <w:r>
            <w:rPr>
              <w:b w:val="0"/>
              <w:bCs w:val="0"/>
              <w:color w:val="auto"/>
            </w:rPr>
            <w:t>Statistical Indicators of Eight Machine Learning Algorithms in Training, Validation and Test Sets</w:t>
          </w:r>
          <w:r>
            <w:rPr>
              <w:b w:val="0"/>
              <w:color w:val="auto"/>
            </w:rPr>
            <w:ptab w:relativeTo="margin" w:alignment="right" w:leader="dot"/>
          </w:r>
          <w:r>
            <w:rPr>
              <w:b w:val="0"/>
              <w:color w:val="auto"/>
            </w:rPr>
            <w:t>1</w:t>
          </w:r>
          <w:r>
            <w:rPr>
              <w:rFonts w:hint="eastAsia"/>
              <w:b w:val="0"/>
              <w:color w:val="auto"/>
              <w:lang w:val="en-US" w:eastAsia="zh-CN"/>
            </w:rPr>
            <w:t>5</w:t>
          </w:r>
        </w:p>
        <w:p w14:paraId="617E4D33">
          <w:pPr>
            <w:rPr>
              <w:color w:val="auto"/>
              <w:lang w:eastAsia="zh-CN"/>
            </w:rPr>
          </w:pPr>
        </w:p>
        <w:p w14:paraId="0AAE5B3C">
          <w:pPr>
            <w:pStyle w:val="8"/>
            <w:spacing w:line="240" w:lineRule="auto"/>
            <w:jc w:val="both"/>
            <w:rPr>
              <w:rFonts w:hint="eastAsia" w:eastAsiaTheme="minorEastAsia"/>
              <w:b w:val="0"/>
              <w:color w:val="auto"/>
              <w:lang w:val="en-US" w:eastAsia="zh-CN"/>
            </w:rPr>
          </w:pPr>
          <w:r>
            <w:rPr>
              <w:bCs w:val="0"/>
              <w:color w:val="auto"/>
            </w:rPr>
            <w:t>Figure S1.</w:t>
          </w:r>
          <w:r>
            <w:rPr>
              <w:b w:val="0"/>
              <w:bCs w:val="0"/>
              <w:color w:val="auto"/>
            </w:rPr>
            <w:t xml:space="preserve"> </w:t>
          </w:r>
          <w:r>
            <w:rPr>
              <w:b w:val="0"/>
              <w:color w:val="auto"/>
            </w:rPr>
            <w:t xml:space="preserve">Missingness Map in Internal and External Set </w:t>
          </w:r>
          <w:r>
            <w:rPr>
              <w:b w:val="0"/>
              <w:color w:val="auto"/>
            </w:rPr>
            <w:ptab w:relativeTo="margin" w:alignment="right" w:leader="dot"/>
          </w:r>
          <w:r>
            <w:rPr>
              <w:b w:val="0"/>
              <w:color w:val="auto"/>
            </w:rPr>
            <w:t>1</w:t>
          </w:r>
          <w:r>
            <w:rPr>
              <w:rFonts w:hint="eastAsia"/>
              <w:b w:val="0"/>
              <w:color w:val="auto"/>
              <w:lang w:val="en-US" w:eastAsia="zh-CN"/>
            </w:rPr>
            <w:t>7</w:t>
          </w:r>
        </w:p>
        <w:p w14:paraId="18F0537D">
          <w:pPr>
            <w:pStyle w:val="8"/>
            <w:spacing w:line="240" w:lineRule="auto"/>
            <w:jc w:val="both"/>
            <w:rPr>
              <w:rFonts w:hint="eastAsia" w:eastAsiaTheme="minorEastAsia"/>
              <w:b w:val="0"/>
              <w:color w:val="auto"/>
              <w:lang w:val="en-US" w:eastAsia="zh-CN"/>
            </w:rPr>
          </w:pPr>
          <w:r>
            <w:rPr>
              <w:bCs w:val="0"/>
              <w:color w:val="auto"/>
            </w:rPr>
            <w:t>Figure S2.</w:t>
          </w:r>
          <w:r>
            <w:rPr>
              <w:b w:val="0"/>
              <w:bCs w:val="0"/>
              <w:color w:val="auto"/>
            </w:rPr>
            <w:t xml:space="preserve"> Application of the Established Nomogram in Diagnosing CAS</w:t>
          </w:r>
          <w:r>
            <w:rPr>
              <w:b w:val="0"/>
              <w:color w:val="auto"/>
            </w:rPr>
            <w:t xml:space="preserve"> </w:t>
          </w:r>
          <w:r>
            <w:rPr>
              <w:b w:val="0"/>
              <w:color w:val="auto"/>
            </w:rPr>
            <w:ptab w:relativeTo="margin" w:alignment="right" w:leader="dot"/>
          </w:r>
          <w:r>
            <w:rPr>
              <w:b w:val="0"/>
              <w:color w:val="auto"/>
            </w:rPr>
            <w:t>1</w:t>
          </w:r>
          <w:r>
            <w:rPr>
              <w:rFonts w:hint="eastAsia"/>
              <w:b w:val="0"/>
              <w:color w:val="auto"/>
              <w:lang w:val="en-US" w:eastAsia="zh-CN"/>
            </w:rPr>
            <w:t>8</w:t>
          </w:r>
        </w:p>
        <w:p w14:paraId="01B0FD0D">
          <w:pPr>
            <w:rPr>
              <w:rFonts w:hint="default" w:ascii="Times New Roman" w:hAnsi="Times New Roman" w:cs="Times New Roman" w:eastAsiaTheme="minorEastAsia"/>
              <w:b w:val="0"/>
              <w:bCs w:val="0"/>
              <w:color w:val="auto"/>
              <w:sz w:val="24"/>
              <w:szCs w:val="24"/>
              <w:lang w:val="en-US" w:eastAsia="zh-CN" w:bidi="ar-SA"/>
            </w:rPr>
          </w:pPr>
          <w:r>
            <w:rPr>
              <w:rFonts w:ascii="Times New Roman" w:hAnsi="Times New Roman" w:cs="Times New Roman" w:eastAsiaTheme="minorEastAsia"/>
              <w:b/>
              <w:bCs/>
              <w:color w:val="auto"/>
              <w:sz w:val="24"/>
              <w:szCs w:val="24"/>
              <w:lang w:val="en-US" w:eastAsia="zh-CN" w:bidi="ar-SA"/>
            </w:rPr>
            <w:t>Figure S</w:t>
          </w:r>
          <w:r>
            <w:rPr>
              <w:rFonts w:hint="eastAsia" w:ascii="Times New Roman" w:hAnsi="Times New Roman" w:cs="Times New Roman"/>
              <w:b/>
              <w:bCs/>
              <w:color w:val="auto"/>
              <w:sz w:val="24"/>
              <w:szCs w:val="24"/>
              <w:lang w:val="en-US" w:eastAsia="zh-CN" w:bidi="ar-SA"/>
            </w:rPr>
            <w:t>3</w:t>
          </w:r>
          <w:r>
            <w:rPr>
              <w:rFonts w:ascii="Times New Roman" w:hAnsi="Times New Roman" w:cs="Times New Roman" w:eastAsiaTheme="minorEastAsia"/>
              <w:b/>
              <w:bCs/>
              <w:color w:val="auto"/>
              <w:sz w:val="24"/>
              <w:szCs w:val="24"/>
              <w:lang w:val="en-US" w:eastAsia="zh-CN" w:bidi="ar-SA"/>
            </w:rPr>
            <w:t>.</w:t>
          </w:r>
          <w:r>
            <w:rPr>
              <w:rFonts w:ascii="Times New Roman" w:hAnsi="Times New Roman" w:cs="Times New Roman" w:eastAsiaTheme="minorEastAsia"/>
              <w:b w:val="0"/>
              <w:bCs w:val="0"/>
              <w:color w:val="auto"/>
              <w:sz w:val="24"/>
              <w:szCs w:val="24"/>
              <w:lang w:val="en-US" w:eastAsia="zh-CN" w:bidi="ar-SA"/>
            </w:rPr>
            <w:t xml:space="preserve"> </w:t>
          </w:r>
          <w:r>
            <w:rPr>
              <w:rFonts w:hint="eastAsia" w:ascii="Times New Roman" w:hAnsi="Times New Roman" w:cs="Times New Roman" w:eastAsiaTheme="minorEastAsia"/>
              <w:b w:val="0"/>
              <w:bCs w:val="0"/>
              <w:color w:val="auto"/>
              <w:sz w:val="24"/>
              <w:szCs w:val="24"/>
              <w:lang w:val="en-US" w:eastAsia="zh-CN" w:bidi="ar-SA"/>
            </w:rPr>
            <w:t xml:space="preserve">Schematic </w:t>
          </w:r>
          <w:r>
            <w:rPr>
              <w:rFonts w:hint="eastAsia" w:ascii="Times New Roman" w:hAnsi="Times New Roman" w:cs="Times New Roman"/>
              <w:b w:val="0"/>
              <w:bCs w:val="0"/>
              <w:color w:val="auto"/>
              <w:sz w:val="24"/>
              <w:szCs w:val="24"/>
              <w:lang w:val="en-US" w:eastAsia="zh-CN" w:bidi="ar-SA"/>
            </w:rPr>
            <w:t>D</w:t>
          </w:r>
          <w:r>
            <w:rPr>
              <w:rFonts w:hint="eastAsia" w:ascii="Times New Roman" w:hAnsi="Times New Roman" w:cs="Times New Roman" w:eastAsiaTheme="minorEastAsia"/>
              <w:b w:val="0"/>
              <w:bCs w:val="0"/>
              <w:color w:val="auto"/>
              <w:sz w:val="24"/>
              <w:szCs w:val="24"/>
              <w:lang w:val="en-US" w:eastAsia="zh-CN" w:bidi="ar-SA"/>
            </w:rPr>
            <w:t xml:space="preserve">iagram of </w:t>
          </w:r>
          <w:r>
            <w:rPr>
              <w:rFonts w:hint="eastAsia" w:ascii="Times New Roman" w:hAnsi="Times New Roman" w:cs="Times New Roman"/>
              <w:b w:val="0"/>
              <w:bCs w:val="0"/>
              <w:color w:val="auto"/>
              <w:sz w:val="24"/>
              <w:szCs w:val="24"/>
              <w:lang w:val="en-US" w:eastAsia="zh-CN" w:bidi="ar-SA"/>
            </w:rPr>
            <w:t>M</w:t>
          </w:r>
          <w:r>
            <w:rPr>
              <w:rFonts w:hint="eastAsia" w:ascii="Times New Roman" w:hAnsi="Times New Roman" w:cs="Times New Roman" w:eastAsiaTheme="minorEastAsia"/>
              <w:b w:val="0"/>
              <w:bCs w:val="0"/>
              <w:color w:val="auto"/>
              <w:sz w:val="24"/>
              <w:szCs w:val="24"/>
              <w:lang w:val="en-US" w:eastAsia="zh-CN" w:bidi="ar-SA"/>
            </w:rPr>
            <w:t xml:space="preserve">easurement of RVOT </w:t>
          </w:r>
          <w:r>
            <w:rPr>
              <w:rFonts w:hint="eastAsia" w:ascii="Times New Roman" w:hAnsi="Times New Roman" w:cs="Times New Roman"/>
              <w:b w:val="0"/>
              <w:bCs w:val="0"/>
              <w:color w:val="auto"/>
              <w:sz w:val="24"/>
              <w:szCs w:val="24"/>
              <w:lang w:val="en-US" w:eastAsia="zh-CN" w:bidi="ar-SA"/>
            </w:rPr>
            <w:t>Morphology by C</w:t>
          </w:r>
          <w:r>
            <w:rPr>
              <w:rFonts w:hint="eastAsia" w:ascii="Times New Roman" w:hAnsi="Times New Roman" w:cs="Times New Roman" w:eastAsiaTheme="minorEastAsia"/>
              <w:b w:val="0"/>
              <w:bCs w:val="0"/>
              <w:color w:val="auto"/>
              <w:sz w:val="24"/>
              <w:szCs w:val="24"/>
              <w:lang w:val="en-US" w:eastAsia="zh-CN" w:bidi="ar-SA"/>
            </w:rPr>
            <w:t xml:space="preserve">ardiac </w:t>
          </w:r>
          <w:r>
            <w:rPr>
              <w:rFonts w:hint="eastAsia" w:ascii="Times New Roman" w:hAnsi="Times New Roman" w:cs="Times New Roman"/>
              <w:b w:val="0"/>
              <w:bCs w:val="0"/>
              <w:color w:val="auto"/>
              <w:sz w:val="24"/>
              <w:szCs w:val="24"/>
              <w:lang w:val="en-US" w:eastAsia="zh-CN" w:bidi="ar-SA"/>
            </w:rPr>
            <w:t>U</w:t>
          </w:r>
          <w:r>
            <w:rPr>
              <w:rFonts w:hint="eastAsia" w:ascii="Times New Roman" w:hAnsi="Times New Roman" w:cs="Times New Roman" w:eastAsiaTheme="minorEastAsia"/>
              <w:b w:val="0"/>
              <w:bCs w:val="0"/>
              <w:color w:val="auto"/>
              <w:sz w:val="24"/>
              <w:szCs w:val="24"/>
              <w:lang w:val="en-US" w:eastAsia="zh-CN" w:bidi="ar-SA"/>
            </w:rPr>
            <w:t>ltrasound</w:t>
          </w:r>
          <w:r>
            <w:rPr>
              <w:b w:val="0"/>
              <w:color w:val="auto"/>
            </w:rPr>
            <w:ptab w:relativeTo="margin" w:alignment="right" w:leader="dot"/>
          </w:r>
          <w:r>
            <w:rPr>
              <w:rFonts w:ascii="Times New Roman" w:hAnsi="Times New Roman" w:cs="Times New Roman" w:eastAsiaTheme="minorEastAsia"/>
              <w:b w:val="0"/>
              <w:bCs w:val="0"/>
              <w:color w:val="auto"/>
              <w:sz w:val="24"/>
              <w:szCs w:val="24"/>
              <w:lang w:val="en-US" w:eastAsia="zh-CN" w:bidi="ar-SA"/>
            </w:rPr>
            <w:t>1</w:t>
          </w:r>
          <w:r>
            <w:rPr>
              <w:rFonts w:hint="eastAsia" w:ascii="Times New Roman" w:hAnsi="Times New Roman" w:cs="Times New Roman"/>
              <w:b w:val="0"/>
              <w:bCs w:val="0"/>
              <w:color w:val="auto"/>
              <w:sz w:val="24"/>
              <w:szCs w:val="24"/>
              <w:lang w:val="en-US" w:eastAsia="zh-CN" w:bidi="ar-SA"/>
            </w:rPr>
            <w:t>9</w:t>
          </w:r>
        </w:p>
        <w:p w14:paraId="3C9C7DA3">
          <w:pPr>
            <w:pStyle w:val="8"/>
            <w:spacing w:line="240" w:lineRule="auto"/>
            <w:jc w:val="both"/>
            <w:rPr>
              <w:bCs w:val="0"/>
              <w:color w:val="auto"/>
            </w:rPr>
          </w:pPr>
        </w:p>
        <w:p w14:paraId="6C2CCDE7">
          <w:pPr>
            <w:pStyle w:val="8"/>
            <w:spacing w:line="240" w:lineRule="auto"/>
            <w:jc w:val="both"/>
            <w:rPr>
              <w:rFonts w:hint="default" w:eastAsiaTheme="minorEastAsia"/>
              <w:b w:val="0"/>
              <w:color w:val="auto"/>
              <w:lang w:val="en-US" w:eastAsia="zh-CN"/>
            </w:rPr>
          </w:pPr>
          <w:r>
            <w:rPr>
              <w:bCs w:val="0"/>
              <w:color w:val="auto"/>
            </w:rPr>
            <w:t>Supplemental References</w:t>
          </w:r>
          <w:r>
            <w:rPr>
              <w:b w:val="0"/>
              <w:color w:val="auto"/>
            </w:rPr>
            <w:t xml:space="preserve"> </w:t>
          </w:r>
          <w:r>
            <w:rPr>
              <w:b w:val="0"/>
              <w:color w:val="auto"/>
            </w:rPr>
            <w:ptab w:relativeTo="margin" w:alignment="right" w:leader="dot"/>
          </w:r>
          <w:r>
            <w:rPr>
              <w:rFonts w:hint="eastAsia"/>
              <w:b w:val="0"/>
              <w:color w:val="auto"/>
              <w:lang w:val="en-US" w:eastAsia="zh-CN"/>
            </w:rPr>
            <w:t>20</w:t>
          </w:r>
        </w:p>
        <w:p w14:paraId="4485B68F">
          <w:pPr>
            <w:jc w:val="both"/>
            <w:rPr>
              <w:color w:val="auto"/>
              <w:lang w:eastAsia="zh-CN"/>
            </w:rPr>
          </w:pPr>
        </w:p>
      </w:sdtContent>
    </w:sdt>
    <w:p w14:paraId="3A0E4F46">
      <w:pPr>
        <w:rPr>
          <w:rFonts w:ascii="Times New Roman" w:hAnsi="Times New Roman" w:cs="Times New Roman"/>
          <w:b/>
          <w:bCs/>
          <w:color w:val="auto"/>
          <w:lang w:eastAsia="zh-CN"/>
        </w:rPr>
      </w:pPr>
      <w:r>
        <w:rPr>
          <w:rFonts w:ascii="Times New Roman" w:hAnsi="Times New Roman" w:cs="Times New Roman"/>
          <w:b/>
          <w:bCs/>
          <w:color w:val="auto"/>
          <w:lang w:eastAsia="zh-CN"/>
        </w:rPr>
        <w:br w:type="page"/>
      </w:r>
    </w:p>
    <w:p w14:paraId="6D6536E3">
      <w:pPr>
        <w:spacing w:line="480" w:lineRule="auto"/>
        <w:rPr>
          <w:rFonts w:ascii="Times New Roman" w:hAnsi="Times New Roman" w:cs="Times New Roman"/>
          <w:b/>
          <w:bCs/>
          <w:color w:val="auto"/>
        </w:rPr>
      </w:pPr>
      <w:r>
        <w:rPr>
          <w:rFonts w:ascii="Times New Roman" w:hAnsi="Times New Roman" w:cs="Times New Roman"/>
          <w:b/>
          <w:bCs/>
          <w:color w:val="auto"/>
        </w:rPr>
        <w:t xml:space="preserve">Supplemental Methods </w:t>
      </w:r>
    </w:p>
    <w:p w14:paraId="0CC910F8">
      <w:pPr>
        <w:pStyle w:val="29"/>
        <w:numPr>
          <w:ilvl w:val="0"/>
          <w:numId w:val="1"/>
        </w:numPr>
        <w:spacing w:line="360" w:lineRule="auto"/>
        <w:jc w:val="both"/>
        <w:rPr>
          <w:rFonts w:ascii="Times New Roman" w:hAnsi="Times New Roman" w:cs="Times New Roman"/>
          <w:iCs/>
          <w:color w:val="auto"/>
        </w:rPr>
      </w:pPr>
      <w:r>
        <w:rPr>
          <w:rFonts w:ascii="Times New Roman" w:hAnsi="Times New Roman" w:cs="Times New Roman"/>
          <w:iCs/>
          <w:color w:val="auto"/>
        </w:rPr>
        <w:t>Gross Examination and Tissue Processing</w:t>
      </w:r>
    </w:p>
    <w:p w14:paraId="380B6F6B">
      <w:pPr>
        <w:spacing w:line="360" w:lineRule="auto"/>
        <w:ind w:firstLine="480" w:firstLineChars="200"/>
        <w:jc w:val="both"/>
        <w:rPr>
          <w:rFonts w:ascii="Times New Roman" w:hAnsi="Times New Roman" w:cs="Times New Roman"/>
          <w:iCs/>
          <w:color w:val="auto"/>
        </w:rPr>
      </w:pPr>
      <w:r>
        <w:rPr>
          <w:rFonts w:ascii="Times New Roman" w:hAnsi="Times New Roman" w:cs="Times New Roman"/>
          <w:iCs/>
          <w:color w:val="auto"/>
        </w:rPr>
        <w:t>Along the anterior ventricular sulcus to the apex, the right ventricle was opened at commissural points at the end of anterior valvular sinus and left valvular sinus, fully exposing the septum of right ventricular outflow tract (RVOT). Sub-valve plane was defined to be through two lower of three hinge points of the valves in the RVOT. Supra-valve plane was defined to be through two higher of three commissural points at the end of the valvular sinuses. Mid-valve plane was defined to be at the mid-point between the sub-valve and the supra-valve planes. P</w:t>
      </w:r>
      <w:r>
        <w:rPr>
          <w:rFonts w:hint="eastAsia" w:ascii="Times New Roman" w:hAnsi="Times New Roman" w:cs="Times New Roman"/>
          <w:iCs/>
          <w:color w:val="auto"/>
          <w:lang w:eastAsia="zh-CN"/>
        </w:rPr>
        <w:t>erimeter</w:t>
      </w:r>
      <w:r>
        <w:rPr>
          <w:rFonts w:ascii="Times New Roman" w:hAnsi="Times New Roman" w:cs="Times New Roman"/>
          <w:iCs/>
          <w:color w:val="auto"/>
        </w:rPr>
        <w:t xml:space="preserve">s of three planes were measured. The interval between supraventricular crest and pulmonary valve was defined as the distance from the highest point of the supraventricular crest to the lowest hinge point of the pulmonary valve, which was considered as the shortest length of RVOT. The myocardium thickness of free wall was measured at sub-valve plane directly below the commissural point at the end of anterior and right valve sinuses, epicardial fat excluded. </w:t>
      </w:r>
      <w:bookmarkStart w:id="0" w:name="OLE_LINK1"/>
      <w:r>
        <w:rPr>
          <w:rFonts w:ascii="Times New Roman" w:hAnsi="Times New Roman" w:cs="Times New Roman"/>
          <w:iCs/>
          <w:color w:val="auto"/>
        </w:rPr>
        <w:t>The</w:t>
      </w:r>
      <w:r>
        <w:rPr>
          <w:rFonts w:hint="eastAsia" w:ascii="Times New Roman" w:hAnsi="Times New Roman" w:cs="Times New Roman"/>
          <w:iCs/>
          <w:color w:val="auto"/>
          <w:lang w:val="en-US" w:eastAsia="zh-CN"/>
        </w:rPr>
        <w:t xml:space="preserve"> </w:t>
      </w:r>
      <w:r>
        <w:rPr>
          <w:rFonts w:ascii="Times New Roman" w:hAnsi="Times New Roman" w:cs="Times New Roman"/>
          <w:iCs/>
          <w:color w:val="auto"/>
        </w:rPr>
        <w:t xml:space="preserve">septum </w:t>
      </w:r>
      <w:r>
        <w:rPr>
          <w:rFonts w:hint="eastAsia" w:ascii="Times New Roman" w:hAnsi="Times New Roman" w:cs="Times New Roman"/>
          <w:iCs/>
          <w:color w:val="auto"/>
          <w:lang w:val="en-US" w:eastAsia="zh-CN"/>
        </w:rPr>
        <w:t>thickness was defined as from endocardium to the boundary between myocardium and septum-aortic root space, at the sub-valve plane below the commissural point at the end of right and left valve sinuses.</w:t>
      </w:r>
      <w:bookmarkEnd w:id="0"/>
    </w:p>
    <w:p w14:paraId="2996B54B">
      <w:pPr>
        <w:spacing w:line="360" w:lineRule="auto"/>
        <w:jc w:val="both"/>
        <w:rPr>
          <w:rFonts w:ascii="Times New Roman" w:hAnsi="Times New Roman" w:cs="Times New Roman"/>
          <w:iCs/>
          <w:color w:val="auto"/>
        </w:rPr>
      </w:pPr>
    </w:p>
    <w:p w14:paraId="3D75EC86">
      <w:pPr>
        <w:pStyle w:val="29"/>
        <w:numPr>
          <w:ilvl w:val="0"/>
          <w:numId w:val="1"/>
        </w:numPr>
        <w:spacing w:line="360" w:lineRule="auto"/>
        <w:jc w:val="both"/>
        <w:rPr>
          <w:rFonts w:ascii="Times New Roman" w:hAnsi="Times New Roman" w:cs="Times New Roman"/>
          <w:iCs/>
          <w:color w:val="auto"/>
          <w:lang w:eastAsia="zh-CN"/>
        </w:rPr>
      </w:pPr>
      <w:r>
        <w:rPr>
          <w:rFonts w:ascii="Times New Roman" w:hAnsi="Times New Roman" w:cs="Times New Roman"/>
          <w:iCs/>
          <w:color w:val="auto"/>
          <w:lang w:eastAsia="zh-CN"/>
        </w:rPr>
        <w:t>Development and Validation of Machine Learning Models</w:t>
      </w:r>
    </w:p>
    <w:p w14:paraId="2D455205">
      <w:pPr>
        <w:spacing w:line="360" w:lineRule="auto"/>
        <w:jc w:val="both"/>
        <w:rPr>
          <w:rFonts w:ascii="Times New Roman" w:hAnsi="Times New Roman" w:cs="Times New Roman"/>
          <w:iCs/>
          <w:color w:val="auto"/>
        </w:rPr>
      </w:pPr>
      <w:r>
        <w:rPr>
          <w:rFonts w:ascii="Times New Roman" w:hAnsi="Times New Roman" w:cs="Times New Roman"/>
          <w:iCs/>
          <w:color w:val="auto"/>
        </w:rPr>
        <w:t>2.1 Dataset collection and processing</w:t>
      </w:r>
    </w:p>
    <w:p w14:paraId="6CC9CCA4">
      <w:pPr>
        <w:spacing w:line="360" w:lineRule="auto"/>
        <w:ind w:firstLine="480" w:firstLineChars="200"/>
        <w:jc w:val="both"/>
        <w:rPr>
          <w:rFonts w:ascii="Times New Roman" w:hAnsi="Times New Roman" w:cs="Times New Roman"/>
          <w:iCs/>
          <w:color w:val="auto"/>
        </w:rPr>
      </w:pPr>
      <w:r>
        <w:rPr>
          <w:rFonts w:ascii="Times New Roman" w:hAnsi="Times New Roman" w:cs="Times New Roman"/>
          <w:iCs/>
          <w:color w:val="auto"/>
        </w:rPr>
        <w:t xml:space="preserve">The machine learning model was constructed </w:t>
      </w:r>
      <w:r>
        <w:rPr>
          <w:rFonts w:ascii="Times New Roman" w:hAnsi="Times New Roman" w:cs="Times New Roman"/>
          <w:iCs/>
          <w:color w:val="auto"/>
          <w:lang w:eastAsia="zh-CN"/>
        </w:rPr>
        <w:t>based on</w:t>
      </w:r>
      <w:r>
        <w:rPr>
          <w:rFonts w:ascii="Times New Roman" w:hAnsi="Times New Roman" w:cs="Times New Roman"/>
          <w:iCs/>
          <w:color w:val="auto"/>
        </w:rPr>
        <w:t xml:space="preserve"> the anatomical features of heart, morphologic features of RVOT, and general information including age, sex, height, and abdominal subcutaneous fat thickness. Cases collected from January 2017 to December 2021 were enrolled as the internal dataset, which was then split into training and validation set at a ratio of 7:3. The model was finally evaluated in an external test set which enrolled 654 cases collected in 2022 and 2023.</w:t>
      </w:r>
    </w:p>
    <w:p w14:paraId="2E46E92E">
      <w:pPr>
        <w:spacing w:line="360" w:lineRule="auto"/>
        <w:ind w:firstLine="480" w:firstLineChars="200"/>
        <w:jc w:val="both"/>
        <w:rPr>
          <w:rFonts w:ascii="Times New Roman" w:hAnsi="Times New Roman" w:cs="Times New Roman"/>
          <w:iCs/>
          <w:color w:val="auto"/>
        </w:rPr>
      </w:pPr>
      <w:r>
        <w:rPr>
          <w:rFonts w:ascii="Times New Roman" w:hAnsi="Times New Roman" w:cs="Times New Roman"/>
          <w:iCs/>
          <w:color w:val="auto"/>
        </w:rPr>
        <w:t>For data processing, we implemented the missForest method</w:t>
      </w:r>
      <w:r>
        <w:rPr>
          <w:rFonts w:ascii="Times New Roman" w:hAnsi="Times New Roman" w:cs="Times New Roman"/>
          <w:iCs/>
          <w:color w:val="auto"/>
          <w:lang w:eastAsia="zh-CN"/>
        </w:rPr>
        <w:t xml:space="preserve"> </w:t>
      </w:r>
      <w:r>
        <w:rPr>
          <w:rFonts w:ascii="Times New Roman" w:hAnsi="Times New Roman" w:cs="Times New Roman"/>
          <w:iCs/>
          <w:color w:val="auto"/>
          <w:vertAlign w:val="superscript"/>
          <w:lang w:eastAsia="zh-CN"/>
        </w:rPr>
        <w:t>1</w:t>
      </w:r>
      <w:r>
        <w:rPr>
          <w:rFonts w:ascii="Times New Roman" w:hAnsi="Times New Roman" w:cs="Times New Roman"/>
          <w:iCs/>
          <w:color w:val="auto"/>
        </w:rPr>
        <w:t xml:space="preserve">, a robust imputation technique that can deal with missing values, to fill the small number of missing data in the internal and external dataset separately. Subsequently, all continuous variables were standardized in the training, validation, and external test set based on the mean value and the standard deviation of each variable in the training set. For the standardization, each individual value was subtracted by the mean value, and then divided by the standard deviation. </w:t>
      </w:r>
    </w:p>
    <w:p w14:paraId="75BF0B09">
      <w:pPr>
        <w:spacing w:line="360" w:lineRule="auto"/>
        <w:jc w:val="both"/>
        <w:rPr>
          <w:rFonts w:ascii="Times New Roman" w:hAnsi="Times New Roman" w:cs="Times New Roman"/>
          <w:iCs/>
          <w:color w:val="auto"/>
        </w:rPr>
      </w:pPr>
      <w:r>
        <w:rPr>
          <w:rFonts w:ascii="Times New Roman" w:hAnsi="Times New Roman" w:cs="Times New Roman"/>
          <w:iCs/>
          <w:color w:val="auto"/>
        </w:rPr>
        <w:t>2.2 Feature selection</w:t>
      </w:r>
    </w:p>
    <w:p w14:paraId="4873E09E">
      <w:pPr>
        <w:spacing w:line="360" w:lineRule="auto"/>
        <w:ind w:firstLine="480" w:firstLineChars="200"/>
        <w:jc w:val="both"/>
        <w:rPr>
          <w:rFonts w:ascii="Times New Roman" w:hAnsi="Times New Roman" w:cs="Times New Roman"/>
          <w:iCs/>
          <w:color w:val="auto"/>
        </w:rPr>
      </w:pPr>
      <w:r>
        <w:rPr>
          <w:rFonts w:ascii="Times New Roman" w:hAnsi="Times New Roman" w:cs="Times New Roman"/>
          <w:iCs/>
          <w:color w:val="auto"/>
        </w:rPr>
        <w:t xml:space="preserve">We applied the least absolute shrinkage and selection operator (LASSO) method, a satisfactory approach that works by shrinking the coefficient of noninfluential variables to zero with only a few important variables retained in the final model, for the feature selection in the training set. The minimal penalty parameter λ plus 1 standard error based on 10-fold cross validation procedure in the training set was selected as the optimal hyperparameter for LASSO approach, which can yield a more parsimonious model. </w:t>
      </w:r>
    </w:p>
    <w:p w14:paraId="0F50B90E">
      <w:pPr>
        <w:spacing w:line="360" w:lineRule="auto"/>
        <w:jc w:val="both"/>
        <w:rPr>
          <w:rFonts w:ascii="Times New Roman" w:hAnsi="Times New Roman" w:cs="Times New Roman"/>
          <w:iCs/>
          <w:color w:val="auto"/>
        </w:rPr>
      </w:pPr>
      <w:r>
        <w:rPr>
          <w:rFonts w:ascii="Times New Roman" w:hAnsi="Times New Roman" w:cs="Times New Roman"/>
          <w:iCs/>
          <w:color w:val="auto"/>
        </w:rPr>
        <w:t>2.3 Machine learning development</w:t>
      </w:r>
    </w:p>
    <w:p w14:paraId="3F2ADE92">
      <w:pPr>
        <w:spacing w:line="360" w:lineRule="auto"/>
        <w:ind w:firstLine="480" w:firstLineChars="200"/>
        <w:jc w:val="both"/>
        <w:rPr>
          <w:rFonts w:ascii="Times New Roman" w:hAnsi="Times New Roman" w:cs="Times New Roman"/>
          <w:iCs/>
          <w:color w:val="auto"/>
        </w:rPr>
      </w:pPr>
      <w:r>
        <w:rPr>
          <w:rFonts w:ascii="Times New Roman" w:hAnsi="Times New Roman" w:cs="Times New Roman"/>
          <w:iCs/>
          <w:color w:val="auto"/>
        </w:rPr>
        <w:t xml:space="preserve">Eight machine learning models were selected as the candidates, including random forest, extreme gradient boosting trees model, adaptive boosting trees model, logistic regression (LR) model, support vector machine with radial basis function kernel, Gaussian Naïve Bayes, k-nearest neighbor algorithm, and single-hidden-layer neural network. Machine learning models were developed in the training set and the grid search strategy with 5-fold cross validation was applied for tuning the hyperparameters. Specially, a nomogram was constructed for the visualization of the LR model. Each variable selected by LASSO regression corresponded to a point at each value based on the coefficient in LR model and a total point was calculated by the sum of the points of all included variables for each case. The relation between the total point and the predicted probability was shown on the bottom of the nomogram. </w:t>
      </w:r>
    </w:p>
    <w:p w14:paraId="04576138">
      <w:pPr>
        <w:spacing w:line="360" w:lineRule="auto"/>
        <w:jc w:val="both"/>
        <w:rPr>
          <w:rFonts w:ascii="Times New Roman" w:hAnsi="Times New Roman" w:cs="Times New Roman"/>
          <w:iCs/>
          <w:color w:val="auto"/>
        </w:rPr>
      </w:pPr>
      <w:r>
        <w:rPr>
          <w:rFonts w:ascii="Times New Roman" w:hAnsi="Times New Roman" w:cs="Times New Roman"/>
          <w:iCs/>
          <w:color w:val="auto"/>
        </w:rPr>
        <w:t>2.4 Model evaluation</w:t>
      </w:r>
    </w:p>
    <w:p w14:paraId="2F9853E7">
      <w:pPr>
        <w:spacing w:line="360" w:lineRule="auto"/>
        <w:ind w:firstLine="480" w:firstLineChars="200"/>
        <w:jc w:val="both"/>
        <w:rPr>
          <w:rFonts w:ascii="Times New Roman" w:hAnsi="Times New Roman" w:cs="Times New Roman"/>
          <w:iCs/>
          <w:color w:val="auto"/>
        </w:rPr>
      </w:pPr>
      <w:r>
        <w:rPr>
          <w:rFonts w:ascii="Times New Roman" w:hAnsi="Times New Roman" w:cs="Times New Roman"/>
          <w:iCs/>
          <w:color w:val="auto"/>
        </w:rPr>
        <w:t xml:space="preserve">All models based on the optimal hyperparameters were evaluated in the training set by 5-fold cross validation, and subsequently in the validation set and external test set with the same hyperparameters. The discrimination performance of each model was compared according to the area under the receiver operating characteristic curve (AUC). The accuracy, sensitivity, specificity, positive predictive value, negative predictive value, F1 score, and Kappa value were also calculated based on the cutoff value which was determined by the maximal Youden index in the training set. The calibration capability was examined by calibration curve together with calibration slope and calibration-in-the-large. Decision Curve Analyses were carried out to assess the application value of models. </w:t>
      </w:r>
    </w:p>
    <w:p w14:paraId="485E96B0">
      <w:pPr>
        <w:spacing w:line="360" w:lineRule="auto"/>
        <w:ind w:firstLine="480" w:firstLineChars="200"/>
        <w:jc w:val="both"/>
        <w:rPr>
          <w:rFonts w:ascii="Times New Roman" w:hAnsi="Times New Roman" w:cs="Times New Roman"/>
          <w:i/>
          <w:iCs/>
          <w:color w:val="auto"/>
        </w:rPr>
      </w:pPr>
      <w:r>
        <w:rPr>
          <w:rFonts w:ascii="Times New Roman" w:hAnsi="Times New Roman" w:cs="Times New Roman"/>
          <w:i/>
          <w:iCs/>
          <w:color w:val="auto"/>
        </w:rPr>
        <w:br w:type="page"/>
      </w:r>
    </w:p>
    <w:p w14:paraId="1E216741">
      <w:pPr>
        <w:jc w:val="both"/>
        <w:rPr>
          <w:rFonts w:ascii="Times New Roman" w:hAnsi="Times New Roman" w:cs="Times New Roman"/>
          <w:bCs/>
          <w:color w:val="auto"/>
        </w:rPr>
      </w:pPr>
      <w:r>
        <w:rPr>
          <w:rFonts w:ascii="Times New Roman" w:hAnsi="Times New Roman" w:cs="Times New Roman"/>
          <w:b/>
          <w:bCs/>
          <w:color w:val="auto"/>
        </w:rPr>
        <w:t xml:space="preserve">Table S1. </w:t>
      </w:r>
      <w:r>
        <w:rPr>
          <w:rFonts w:ascii="Times New Roman" w:hAnsi="Times New Roman" w:cs="Times New Roman"/>
          <w:bCs/>
          <w:color w:val="auto"/>
        </w:rPr>
        <w:t xml:space="preserve">Morphological Statistics of RVOT </w:t>
      </w:r>
      <w:r>
        <w:rPr>
          <w:rFonts w:hint="eastAsia" w:ascii="Times New Roman" w:hAnsi="Times New Roman" w:cs="Times New Roman"/>
          <w:bCs/>
          <w:color w:val="auto"/>
        </w:rPr>
        <w:t xml:space="preserve">in Stage </w:t>
      </w:r>
      <w:r>
        <w:rPr>
          <w:rFonts w:ascii="Times New Roman" w:hAnsi="Times New Roman" w:cs="Times New Roman"/>
          <w:bCs/>
          <w:color w:val="auto"/>
        </w:rPr>
        <w:t>O</w:t>
      </w:r>
      <w:r>
        <w:rPr>
          <w:rFonts w:hint="eastAsia" w:ascii="Times New Roman" w:hAnsi="Times New Roman" w:cs="Times New Roman"/>
          <w:bCs/>
          <w:color w:val="auto"/>
        </w:rPr>
        <w:t>ne</w:t>
      </w:r>
    </w:p>
    <w:p w14:paraId="0E27463E">
      <w:pPr>
        <w:jc w:val="both"/>
        <w:rPr>
          <w:rFonts w:ascii="Times New Roman" w:hAnsi="Times New Roman" w:cs="Times New Roman"/>
          <w:bCs/>
          <w:color w:val="auto"/>
        </w:rPr>
      </w:pPr>
    </w:p>
    <w:tbl>
      <w:tblPr>
        <w:tblStyle w:val="15"/>
        <w:tblW w:w="10491"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5"/>
        <w:gridCol w:w="1275"/>
        <w:gridCol w:w="1276"/>
        <w:gridCol w:w="1276"/>
        <w:gridCol w:w="1417"/>
        <w:gridCol w:w="1276"/>
        <w:gridCol w:w="1276"/>
      </w:tblGrid>
      <w:tr w14:paraId="085EB03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2695" w:type="dxa"/>
            <w:tcBorders>
              <w:top w:val="single" w:color="auto" w:sz="12" w:space="0"/>
              <w:bottom w:val="single" w:color="auto" w:sz="4" w:space="0"/>
            </w:tcBorders>
          </w:tcPr>
          <w:p w14:paraId="504862B6">
            <w:pPr>
              <w:jc w:val="center"/>
              <w:rPr>
                <w:rFonts w:ascii="Times New Roman" w:hAnsi="Times New Roman" w:cs="Times New Roman"/>
                <w:i/>
                <w:color w:val="auto"/>
                <w:sz w:val="21"/>
                <w:szCs w:val="20"/>
                <w:vertAlign w:val="superscript"/>
              </w:rPr>
            </w:pPr>
            <w:r>
              <w:rPr>
                <w:rFonts w:ascii="Times New Roman" w:hAnsi="Times New Roman" w:cs="Times New Roman"/>
                <w:b/>
                <w:color w:val="auto"/>
                <w:sz w:val="21"/>
                <w:szCs w:val="20"/>
              </w:rPr>
              <w:t>Statistics</w:t>
            </w:r>
            <w:r>
              <w:rPr>
                <w:rFonts w:ascii="Times New Roman" w:hAnsi="Times New Roman" w:cs="Times New Roman"/>
                <w:color w:val="auto"/>
                <w:sz w:val="21"/>
                <w:szCs w:val="20"/>
              </w:rPr>
              <w:t xml:space="preserve"> </w:t>
            </w:r>
            <w:r>
              <w:rPr>
                <w:rFonts w:ascii="Times New Roman" w:hAnsi="Times New Roman" w:cs="Times New Roman"/>
                <w:b/>
                <w:color w:val="auto"/>
                <w:sz w:val="21"/>
                <w:szCs w:val="20"/>
                <w:vertAlign w:val="superscript"/>
              </w:rPr>
              <w:t>a</w:t>
            </w:r>
          </w:p>
        </w:tc>
        <w:tc>
          <w:tcPr>
            <w:tcW w:w="1275" w:type="dxa"/>
            <w:tcBorders>
              <w:top w:val="single" w:color="auto" w:sz="12" w:space="0"/>
              <w:bottom w:val="single" w:color="auto" w:sz="4" w:space="0"/>
            </w:tcBorders>
          </w:tcPr>
          <w:p w14:paraId="4585FEB2">
            <w:pPr>
              <w:jc w:val="center"/>
              <w:rPr>
                <w:rFonts w:ascii="Times New Roman" w:hAnsi="Times New Roman" w:cs="Times New Roman"/>
                <w:b/>
                <w:color w:val="auto"/>
                <w:sz w:val="21"/>
                <w:szCs w:val="20"/>
              </w:rPr>
            </w:pPr>
            <w:r>
              <w:rPr>
                <w:rFonts w:ascii="Times New Roman" w:hAnsi="Times New Roman" w:cs="Times New Roman"/>
                <w:b/>
                <w:iCs/>
                <w:color w:val="auto"/>
                <w:sz w:val="21"/>
                <w:szCs w:val="20"/>
              </w:rPr>
              <w:t>pSBV (cm)</w:t>
            </w:r>
          </w:p>
        </w:tc>
        <w:tc>
          <w:tcPr>
            <w:tcW w:w="1276" w:type="dxa"/>
            <w:tcBorders>
              <w:top w:val="single" w:color="auto" w:sz="12" w:space="0"/>
              <w:bottom w:val="single" w:color="auto" w:sz="4" w:space="0"/>
            </w:tcBorders>
          </w:tcPr>
          <w:p w14:paraId="5DFF16A9">
            <w:pPr>
              <w:jc w:val="center"/>
              <w:rPr>
                <w:rFonts w:ascii="Times New Roman" w:hAnsi="Times New Roman" w:cs="Times New Roman"/>
                <w:b/>
                <w:color w:val="auto"/>
                <w:sz w:val="21"/>
                <w:szCs w:val="20"/>
              </w:rPr>
            </w:pPr>
            <w:r>
              <w:rPr>
                <w:rFonts w:ascii="Times New Roman" w:hAnsi="Times New Roman" w:cs="Times New Roman"/>
                <w:b/>
                <w:iCs/>
                <w:color w:val="auto"/>
                <w:sz w:val="21"/>
                <w:szCs w:val="20"/>
              </w:rPr>
              <w:t>pSPV (cm)</w:t>
            </w:r>
          </w:p>
        </w:tc>
        <w:tc>
          <w:tcPr>
            <w:tcW w:w="1276" w:type="dxa"/>
            <w:tcBorders>
              <w:top w:val="single" w:color="auto" w:sz="12" w:space="0"/>
              <w:bottom w:val="single" w:color="auto" w:sz="4" w:space="0"/>
            </w:tcBorders>
          </w:tcPr>
          <w:p w14:paraId="5B77FB14">
            <w:pPr>
              <w:jc w:val="center"/>
              <w:rPr>
                <w:rFonts w:ascii="Times New Roman" w:hAnsi="Times New Roman" w:cs="Times New Roman"/>
                <w:b/>
                <w:color w:val="auto"/>
                <w:sz w:val="21"/>
                <w:szCs w:val="20"/>
              </w:rPr>
            </w:pPr>
            <w:r>
              <w:rPr>
                <w:rFonts w:ascii="Times New Roman" w:hAnsi="Times New Roman" w:cs="Times New Roman"/>
                <w:b/>
                <w:iCs/>
                <w:color w:val="auto"/>
                <w:sz w:val="21"/>
                <w:szCs w:val="20"/>
              </w:rPr>
              <w:t>pMV (cm)</w:t>
            </w:r>
          </w:p>
        </w:tc>
        <w:tc>
          <w:tcPr>
            <w:tcW w:w="1417" w:type="dxa"/>
            <w:tcBorders>
              <w:top w:val="single" w:color="auto" w:sz="12" w:space="0"/>
              <w:bottom w:val="single" w:color="auto" w:sz="4" w:space="0"/>
            </w:tcBorders>
          </w:tcPr>
          <w:p w14:paraId="1B24F0BB">
            <w:pPr>
              <w:jc w:val="center"/>
              <w:rPr>
                <w:rFonts w:ascii="Times New Roman" w:hAnsi="Times New Roman" w:cs="Times New Roman"/>
                <w:b/>
                <w:color w:val="auto"/>
                <w:sz w:val="21"/>
                <w:szCs w:val="20"/>
              </w:rPr>
            </w:pPr>
            <w:r>
              <w:rPr>
                <w:rFonts w:ascii="Times New Roman" w:hAnsi="Times New Roman" w:cs="Times New Roman"/>
                <w:b/>
                <w:iCs/>
                <w:color w:val="auto"/>
                <w:sz w:val="21"/>
                <w:szCs w:val="20"/>
              </w:rPr>
              <w:t>iSCPV (cm)</w:t>
            </w:r>
          </w:p>
        </w:tc>
        <w:tc>
          <w:tcPr>
            <w:tcW w:w="1276" w:type="dxa"/>
            <w:tcBorders>
              <w:top w:val="single" w:color="auto" w:sz="12" w:space="0"/>
              <w:bottom w:val="single" w:color="auto" w:sz="4" w:space="0"/>
            </w:tcBorders>
          </w:tcPr>
          <w:p w14:paraId="2B987A6E">
            <w:pPr>
              <w:jc w:val="center"/>
              <w:rPr>
                <w:rFonts w:ascii="Times New Roman" w:hAnsi="Times New Roman" w:cs="Times New Roman"/>
                <w:b/>
                <w:color w:val="auto"/>
                <w:sz w:val="21"/>
                <w:szCs w:val="20"/>
              </w:rPr>
            </w:pPr>
            <w:r>
              <w:rPr>
                <w:rFonts w:ascii="Times New Roman" w:hAnsi="Times New Roman" w:cs="Times New Roman"/>
                <w:b/>
                <w:iCs/>
                <w:color w:val="auto"/>
                <w:sz w:val="21"/>
                <w:szCs w:val="20"/>
              </w:rPr>
              <w:t>tF (mm)</w:t>
            </w:r>
          </w:p>
        </w:tc>
        <w:tc>
          <w:tcPr>
            <w:tcW w:w="1276" w:type="dxa"/>
            <w:tcBorders>
              <w:top w:val="single" w:color="auto" w:sz="12" w:space="0"/>
              <w:bottom w:val="single" w:color="auto" w:sz="4" w:space="0"/>
            </w:tcBorders>
          </w:tcPr>
          <w:p w14:paraId="4132092F">
            <w:pPr>
              <w:jc w:val="center"/>
              <w:rPr>
                <w:rFonts w:ascii="Times New Roman" w:hAnsi="Times New Roman" w:cs="Times New Roman"/>
                <w:b/>
                <w:color w:val="auto"/>
                <w:sz w:val="21"/>
                <w:szCs w:val="20"/>
              </w:rPr>
            </w:pPr>
            <w:r>
              <w:rPr>
                <w:rFonts w:ascii="Times New Roman" w:hAnsi="Times New Roman" w:cs="Times New Roman"/>
                <w:b/>
                <w:iCs/>
                <w:color w:val="auto"/>
                <w:sz w:val="21"/>
                <w:szCs w:val="20"/>
              </w:rPr>
              <w:t>tS (mm)</w:t>
            </w:r>
          </w:p>
        </w:tc>
      </w:tr>
      <w:tr w14:paraId="3E8DFE9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jc w:val="center"/>
        </w:trPr>
        <w:tc>
          <w:tcPr>
            <w:tcW w:w="2695" w:type="dxa"/>
            <w:tcBorders>
              <w:top w:val="single" w:color="auto" w:sz="4" w:space="0"/>
              <w:bottom w:val="nil"/>
            </w:tcBorders>
          </w:tcPr>
          <w:p w14:paraId="473E0F72">
            <w:pPr>
              <w:jc w:val="center"/>
              <w:rPr>
                <w:rFonts w:ascii="Times New Roman" w:hAnsi="Times New Roman" w:cs="Times New Roman"/>
                <w:color w:val="auto"/>
                <w:sz w:val="20"/>
                <w:szCs w:val="20"/>
              </w:rPr>
            </w:pPr>
            <w:r>
              <w:rPr>
                <w:rFonts w:ascii="Times New Roman" w:hAnsi="Times New Roman" w:cs="Times New Roman"/>
                <w:color w:val="auto"/>
                <w:sz w:val="20"/>
                <w:szCs w:val="20"/>
              </w:rPr>
              <w:t>N/All</w:t>
            </w:r>
          </w:p>
        </w:tc>
        <w:tc>
          <w:tcPr>
            <w:tcW w:w="1275" w:type="dxa"/>
            <w:tcBorders>
              <w:top w:val="single" w:color="auto" w:sz="4" w:space="0"/>
              <w:bottom w:val="nil"/>
            </w:tcBorders>
          </w:tcPr>
          <w:p w14:paraId="04422D1E">
            <w:pPr>
              <w:jc w:val="center"/>
              <w:rPr>
                <w:rFonts w:ascii="Times New Roman" w:hAnsi="Times New Roman" w:cs="Times New Roman"/>
                <w:color w:val="auto"/>
                <w:sz w:val="20"/>
                <w:szCs w:val="20"/>
              </w:rPr>
            </w:pPr>
            <w:r>
              <w:rPr>
                <w:rFonts w:ascii="Times New Roman" w:hAnsi="Times New Roman" w:cs="Times New Roman"/>
                <w:color w:val="auto"/>
                <w:sz w:val="20"/>
                <w:szCs w:val="20"/>
              </w:rPr>
              <w:t>1278/1305</w:t>
            </w:r>
          </w:p>
        </w:tc>
        <w:tc>
          <w:tcPr>
            <w:tcW w:w="1276" w:type="dxa"/>
            <w:tcBorders>
              <w:top w:val="single" w:color="auto" w:sz="4" w:space="0"/>
              <w:bottom w:val="nil"/>
            </w:tcBorders>
          </w:tcPr>
          <w:p w14:paraId="74E8D38F">
            <w:pPr>
              <w:jc w:val="center"/>
              <w:rPr>
                <w:rFonts w:ascii="Times New Roman" w:hAnsi="Times New Roman" w:cs="Times New Roman"/>
                <w:color w:val="auto"/>
                <w:sz w:val="20"/>
                <w:szCs w:val="20"/>
              </w:rPr>
            </w:pPr>
            <w:r>
              <w:rPr>
                <w:rFonts w:ascii="Times New Roman" w:hAnsi="Times New Roman" w:cs="Times New Roman"/>
                <w:color w:val="auto"/>
                <w:sz w:val="20"/>
                <w:szCs w:val="20"/>
              </w:rPr>
              <w:t>1271/1305</w:t>
            </w:r>
          </w:p>
        </w:tc>
        <w:tc>
          <w:tcPr>
            <w:tcW w:w="1276" w:type="dxa"/>
            <w:tcBorders>
              <w:top w:val="single" w:color="auto" w:sz="4" w:space="0"/>
              <w:bottom w:val="nil"/>
            </w:tcBorders>
          </w:tcPr>
          <w:p w14:paraId="075D836A">
            <w:pPr>
              <w:jc w:val="center"/>
              <w:rPr>
                <w:rFonts w:ascii="Times New Roman" w:hAnsi="Times New Roman" w:cs="Times New Roman"/>
                <w:color w:val="auto"/>
                <w:sz w:val="20"/>
                <w:szCs w:val="20"/>
              </w:rPr>
            </w:pPr>
            <w:r>
              <w:rPr>
                <w:rFonts w:ascii="Times New Roman" w:hAnsi="Times New Roman" w:cs="Times New Roman"/>
                <w:color w:val="auto"/>
                <w:sz w:val="20"/>
                <w:szCs w:val="20"/>
              </w:rPr>
              <w:t>1268/1305</w:t>
            </w:r>
          </w:p>
        </w:tc>
        <w:tc>
          <w:tcPr>
            <w:tcW w:w="1417" w:type="dxa"/>
            <w:tcBorders>
              <w:top w:val="single" w:color="auto" w:sz="4" w:space="0"/>
              <w:bottom w:val="nil"/>
            </w:tcBorders>
          </w:tcPr>
          <w:p w14:paraId="3DFEE04A">
            <w:pPr>
              <w:jc w:val="center"/>
              <w:rPr>
                <w:rFonts w:ascii="Times New Roman" w:hAnsi="Times New Roman" w:cs="Times New Roman"/>
                <w:color w:val="auto"/>
                <w:sz w:val="20"/>
                <w:szCs w:val="20"/>
              </w:rPr>
            </w:pPr>
            <w:r>
              <w:rPr>
                <w:rFonts w:ascii="Times New Roman" w:hAnsi="Times New Roman" w:cs="Times New Roman"/>
                <w:color w:val="auto"/>
                <w:sz w:val="20"/>
                <w:szCs w:val="20"/>
              </w:rPr>
              <w:t>1287/1305</w:t>
            </w:r>
          </w:p>
        </w:tc>
        <w:tc>
          <w:tcPr>
            <w:tcW w:w="1276" w:type="dxa"/>
            <w:tcBorders>
              <w:top w:val="single" w:color="auto" w:sz="4" w:space="0"/>
              <w:bottom w:val="nil"/>
            </w:tcBorders>
          </w:tcPr>
          <w:p w14:paraId="3A2BD97F">
            <w:pPr>
              <w:jc w:val="center"/>
              <w:rPr>
                <w:rFonts w:ascii="Times New Roman" w:hAnsi="Times New Roman" w:cs="Times New Roman"/>
                <w:color w:val="auto"/>
                <w:sz w:val="20"/>
                <w:szCs w:val="20"/>
              </w:rPr>
            </w:pPr>
            <w:r>
              <w:rPr>
                <w:rFonts w:ascii="Times New Roman" w:hAnsi="Times New Roman" w:cs="Times New Roman"/>
                <w:color w:val="auto"/>
                <w:sz w:val="20"/>
                <w:szCs w:val="20"/>
              </w:rPr>
              <w:t>1304/1305</w:t>
            </w:r>
          </w:p>
        </w:tc>
        <w:tc>
          <w:tcPr>
            <w:tcW w:w="1276" w:type="dxa"/>
            <w:tcBorders>
              <w:top w:val="single" w:color="auto" w:sz="4" w:space="0"/>
              <w:bottom w:val="nil"/>
            </w:tcBorders>
          </w:tcPr>
          <w:p w14:paraId="38F81FB7">
            <w:pPr>
              <w:jc w:val="center"/>
              <w:rPr>
                <w:rFonts w:ascii="Times New Roman" w:hAnsi="Times New Roman" w:cs="Times New Roman"/>
                <w:color w:val="auto"/>
                <w:sz w:val="20"/>
                <w:szCs w:val="20"/>
              </w:rPr>
            </w:pPr>
            <w:r>
              <w:rPr>
                <w:rFonts w:ascii="Times New Roman" w:hAnsi="Times New Roman" w:cs="Times New Roman"/>
                <w:color w:val="auto"/>
                <w:sz w:val="20"/>
                <w:szCs w:val="20"/>
              </w:rPr>
              <w:t>1304/1305</w:t>
            </w:r>
          </w:p>
        </w:tc>
      </w:tr>
      <w:tr w14:paraId="07606F8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2695" w:type="dxa"/>
            <w:tcBorders>
              <w:top w:val="nil"/>
              <w:bottom w:val="single" w:color="auto" w:sz="12" w:space="0"/>
            </w:tcBorders>
          </w:tcPr>
          <w:p w14:paraId="73A9AA4B">
            <w:pPr>
              <w:jc w:val="center"/>
              <w:rPr>
                <w:rFonts w:ascii="Times New Roman" w:hAnsi="Times New Roman" w:cs="Times New Roman"/>
                <w:color w:val="auto"/>
                <w:sz w:val="20"/>
                <w:szCs w:val="20"/>
              </w:rPr>
            </w:pPr>
            <w:r>
              <w:rPr>
                <w:rFonts w:ascii="Times New Roman" w:hAnsi="Times New Roman" w:cs="Times New Roman"/>
                <w:color w:val="auto"/>
                <w:sz w:val="20"/>
                <w:szCs w:val="20"/>
              </w:rPr>
              <w:t>Mean±SD / Median (Q1, Q3)</w:t>
            </w:r>
          </w:p>
        </w:tc>
        <w:tc>
          <w:tcPr>
            <w:tcW w:w="1275" w:type="dxa"/>
            <w:tcBorders>
              <w:top w:val="nil"/>
              <w:bottom w:val="single" w:color="auto" w:sz="12" w:space="0"/>
            </w:tcBorders>
          </w:tcPr>
          <w:p w14:paraId="6AA78B43">
            <w:pPr>
              <w:jc w:val="center"/>
              <w:rPr>
                <w:rFonts w:ascii="Times New Roman" w:hAnsi="Times New Roman" w:cs="Times New Roman"/>
                <w:color w:val="auto"/>
                <w:sz w:val="20"/>
                <w:szCs w:val="20"/>
              </w:rPr>
            </w:pPr>
            <w:r>
              <w:rPr>
                <w:rFonts w:ascii="Times New Roman" w:hAnsi="Times New Roman" w:cs="Times New Roman"/>
                <w:color w:val="auto"/>
                <w:sz w:val="20"/>
                <w:szCs w:val="20"/>
              </w:rPr>
              <w:t>7.62±0.90</w:t>
            </w:r>
          </w:p>
        </w:tc>
        <w:tc>
          <w:tcPr>
            <w:tcW w:w="1276" w:type="dxa"/>
            <w:tcBorders>
              <w:top w:val="nil"/>
              <w:bottom w:val="single" w:color="auto" w:sz="12" w:space="0"/>
            </w:tcBorders>
          </w:tcPr>
          <w:p w14:paraId="4A943ADF">
            <w:pPr>
              <w:jc w:val="center"/>
              <w:rPr>
                <w:rFonts w:ascii="Times New Roman" w:hAnsi="Times New Roman" w:cs="Times New Roman"/>
                <w:color w:val="auto"/>
                <w:sz w:val="20"/>
                <w:szCs w:val="20"/>
              </w:rPr>
            </w:pPr>
            <w:r>
              <w:rPr>
                <w:rFonts w:ascii="Times New Roman" w:hAnsi="Times New Roman" w:cs="Times New Roman"/>
                <w:color w:val="auto"/>
                <w:sz w:val="20"/>
                <w:szCs w:val="20"/>
              </w:rPr>
              <w:t>6.66±0.76</w:t>
            </w:r>
          </w:p>
        </w:tc>
        <w:tc>
          <w:tcPr>
            <w:tcW w:w="1276" w:type="dxa"/>
            <w:tcBorders>
              <w:top w:val="nil"/>
              <w:bottom w:val="single" w:color="auto" w:sz="12" w:space="0"/>
            </w:tcBorders>
          </w:tcPr>
          <w:p w14:paraId="2917BC82">
            <w:pPr>
              <w:jc w:val="center"/>
              <w:rPr>
                <w:rFonts w:ascii="Times New Roman" w:hAnsi="Times New Roman" w:cs="Times New Roman"/>
                <w:color w:val="auto"/>
                <w:sz w:val="20"/>
                <w:szCs w:val="20"/>
              </w:rPr>
            </w:pPr>
            <w:r>
              <w:rPr>
                <w:rFonts w:ascii="Times New Roman" w:hAnsi="Times New Roman" w:cs="Times New Roman"/>
                <w:color w:val="auto"/>
                <w:sz w:val="20"/>
                <w:szCs w:val="20"/>
              </w:rPr>
              <w:t>7.13±0.83</w:t>
            </w:r>
          </w:p>
        </w:tc>
        <w:tc>
          <w:tcPr>
            <w:tcW w:w="1417" w:type="dxa"/>
            <w:tcBorders>
              <w:top w:val="nil"/>
              <w:bottom w:val="single" w:color="auto" w:sz="12" w:space="0"/>
            </w:tcBorders>
          </w:tcPr>
          <w:p w14:paraId="65768211">
            <w:pPr>
              <w:jc w:val="center"/>
              <w:rPr>
                <w:rFonts w:ascii="Times New Roman" w:hAnsi="Times New Roman" w:cs="Times New Roman"/>
                <w:color w:val="auto"/>
                <w:sz w:val="20"/>
                <w:szCs w:val="20"/>
              </w:rPr>
            </w:pPr>
            <w:r>
              <w:rPr>
                <w:rFonts w:ascii="Times New Roman" w:hAnsi="Times New Roman" w:cs="Times New Roman"/>
                <w:color w:val="auto"/>
                <w:sz w:val="20"/>
                <w:szCs w:val="20"/>
              </w:rPr>
              <w:t>0.91±0.27</w:t>
            </w:r>
          </w:p>
        </w:tc>
        <w:tc>
          <w:tcPr>
            <w:tcW w:w="1276" w:type="dxa"/>
            <w:tcBorders>
              <w:top w:val="nil"/>
              <w:bottom w:val="single" w:color="auto" w:sz="12" w:space="0"/>
            </w:tcBorders>
          </w:tcPr>
          <w:p w14:paraId="6914D1F9">
            <w:pPr>
              <w:jc w:val="center"/>
              <w:rPr>
                <w:rFonts w:ascii="Times New Roman" w:hAnsi="Times New Roman" w:cs="Times New Roman"/>
                <w:color w:val="auto"/>
                <w:sz w:val="20"/>
                <w:szCs w:val="20"/>
              </w:rPr>
            </w:pPr>
            <w:r>
              <w:rPr>
                <w:rFonts w:ascii="Times New Roman" w:hAnsi="Times New Roman" w:cs="Times New Roman"/>
                <w:color w:val="auto"/>
                <w:sz w:val="20"/>
                <w:szCs w:val="20"/>
              </w:rPr>
              <w:t>3.0 (2.0,3.5)</w:t>
            </w:r>
          </w:p>
        </w:tc>
        <w:tc>
          <w:tcPr>
            <w:tcW w:w="1276" w:type="dxa"/>
            <w:tcBorders>
              <w:top w:val="nil"/>
              <w:bottom w:val="single" w:color="auto" w:sz="12" w:space="0"/>
            </w:tcBorders>
          </w:tcPr>
          <w:p w14:paraId="0B1D78AE">
            <w:pPr>
              <w:jc w:val="center"/>
              <w:rPr>
                <w:rFonts w:ascii="Times New Roman" w:hAnsi="Times New Roman" w:cs="Times New Roman"/>
                <w:color w:val="auto"/>
                <w:sz w:val="20"/>
                <w:szCs w:val="20"/>
              </w:rPr>
            </w:pPr>
            <w:r>
              <w:rPr>
                <w:rFonts w:ascii="Times New Roman" w:hAnsi="Times New Roman" w:cs="Times New Roman"/>
                <w:color w:val="auto"/>
                <w:sz w:val="20"/>
                <w:szCs w:val="20"/>
              </w:rPr>
              <w:t>2.5 (2.0,3.0)</w:t>
            </w:r>
          </w:p>
        </w:tc>
      </w:tr>
    </w:tbl>
    <w:p w14:paraId="36AF3F9A">
      <w:pPr>
        <w:jc w:val="both"/>
        <w:rPr>
          <w:rFonts w:ascii="Times New Roman" w:hAnsi="Times New Roman" w:cs="Times New Roman"/>
          <w:bCs/>
          <w:color w:val="auto"/>
        </w:rPr>
        <w:sectPr>
          <w:foot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bCs/>
          <w:color w:val="auto"/>
          <w:vertAlign w:val="superscript"/>
        </w:rPr>
        <w:t>a</w:t>
      </w:r>
      <w:r>
        <w:rPr>
          <w:rFonts w:ascii="Times New Roman" w:hAnsi="Times New Roman" w:cs="Times New Roman"/>
          <w:bCs/>
          <w:color w:val="auto"/>
        </w:rPr>
        <w:t xml:space="preserve"> The condition of pSBV in 27 cases, pSPV in 34 cases, pMV in 37 cases, iSCPV in 18 cases, tF in 1 cases and tS in 1 cases was unavailable because RVOTs of those cases were permanently removed or destroyed in different degrees during postmortem examination. pSBV=perimeter of sub-valve; pSPV=perimeter of supra-valve; pMV=perimeter of mid-valve; iSCPV=interval between supraventricular crest-pulmonary valve; tF=thickness of free wall; tS=thickness of septum.</w:t>
      </w:r>
    </w:p>
    <w:p w14:paraId="735BD951">
      <w:pPr>
        <w:jc w:val="both"/>
        <w:rPr>
          <w:rFonts w:ascii="Times New Roman" w:hAnsi="Times New Roman" w:cs="Times New Roman"/>
          <w:color w:val="auto"/>
        </w:rPr>
      </w:pPr>
      <w:r>
        <w:rPr>
          <w:rFonts w:ascii="Times New Roman" w:hAnsi="Times New Roman" w:cs="Times New Roman"/>
          <w:b/>
          <w:bCs/>
          <w:color w:val="auto"/>
        </w:rPr>
        <w:t>Table S2</w:t>
      </w:r>
      <w:r>
        <w:rPr>
          <w:rFonts w:ascii="Times New Roman" w:hAnsi="Times New Roman" w:cs="Times New Roman"/>
          <w:color w:val="auto"/>
        </w:rPr>
        <w:t xml:space="preserve">. </w:t>
      </w:r>
      <w:r>
        <w:rPr>
          <w:rFonts w:ascii="Times New Roman" w:hAnsi="Times New Roman" w:eastAsia="宋体" w:cs="Times New Roman"/>
          <w:color w:val="auto"/>
          <w:kern w:val="2"/>
          <w:lang w:eastAsia="zh-CN"/>
        </w:rPr>
        <w:t xml:space="preserve">Logistic Regression Analysis of Association of CVDs Morbidity with Other Characteristics in </w:t>
      </w:r>
      <w:r>
        <w:rPr>
          <w:rFonts w:ascii="Times New Roman" w:hAnsi="Times New Roman" w:cs="Times New Roman"/>
          <w:color w:val="auto"/>
        </w:rPr>
        <w:t>Stage One</w:t>
      </w:r>
    </w:p>
    <w:p w14:paraId="53520921">
      <w:pPr>
        <w:jc w:val="both"/>
        <w:rPr>
          <w:rFonts w:ascii="Times New Roman" w:hAnsi="Times New Roman" w:cs="Times New Roman"/>
          <w:color w:val="auto"/>
        </w:rPr>
      </w:pPr>
    </w:p>
    <w:tbl>
      <w:tblPr>
        <w:tblStyle w:val="53"/>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4"/>
        <w:gridCol w:w="1161"/>
        <w:gridCol w:w="2584"/>
        <w:gridCol w:w="1118"/>
        <w:gridCol w:w="2584"/>
        <w:gridCol w:w="1115"/>
      </w:tblGrid>
      <w:tr w14:paraId="0C03EF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1136" w:type="pct"/>
            <w:gridSpan w:val="2"/>
            <w:vMerge w:val="restart"/>
            <w:tcBorders>
              <w:top w:val="single" w:color="auto" w:sz="12" w:space="0"/>
              <w:bottom w:val="nil"/>
            </w:tcBorders>
            <w:vAlign w:val="center"/>
          </w:tcPr>
          <w:p w14:paraId="08A295BE">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Characteristics</w:t>
            </w:r>
          </w:p>
        </w:tc>
        <w:tc>
          <w:tcPr>
            <w:tcW w:w="1933" w:type="pct"/>
            <w:gridSpan w:val="2"/>
            <w:tcBorders>
              <w:top w:val="single" w:color="auto" w:sz="12" w:space="0"/>
              <w:bottom w:val="single" w:color="auto" w:sz="4" w:space="0"/>
            </w:tcBorders>
          </w:tcPr>
          <w:p w14:paraId="5A740A45">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Univariate</w:t>
            </w:r>
          </w:p>
        </w:tc>
        <w:tc>
          <w:tcPr>
            <w:tcW w:w="1931" w:type="pct"/>
            <w:gridSpan w:val="2"/>
            <w:tcBorders>
              <w:top w:val="single" w:color="auto" w:sz="12" w:space="0"/>
              <w:bottom w:val="single" w:color="auto" w:sz="4" w:space="0"/>
            </w:tcBorders>
          </w:tcPr>
          <w:p w14:paraId="6EAA4719">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 xml:space="preserve">Multivariate </w:t>
            </w:r>
            <w:r>
              <w:rPr>
                <w:rFonts w:ascii="Times New Roman" w:hAnsi="Times New Roman" w:eastAsia="宋体" w:cs="Times New Roman"/>
                <w:b/>
                <w:color w:val="auto"/>
                <w:kern w:val="2"/>
                <w:sz w:val="20"/>
                <w:szCs w:val="20"/>
                <w:vertAlign w:val="superscript"/>
                <w:lang w:eastAsia="zh-CN"/>
              </w:rPr>
              <w:t>a</w:t>
            </w:r>
          </w:p>
        </w:tc>
      </w:tr>
      <w:tr w14:paraId="689D12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jc w:val="center"/>
        </w:trPr>
        <w:tc>
          <w:tcPr>
            <w:tcW w:w="1136" w:type="pct"/>
            <w:gridSpan w:val="2"/>
            <w:vMerge w:val="continue"/>
            <w:tcBorders>
              <w:top w:val="nil"/>
              <w:bottom w:val="single" w:color="auto" w:sz="4" w:space="0"/>
            </w:tcBorders>
          </w:tcPr>
          <w:p w14:paraId="2762C915">
            <w:pPr>
              <w:widowControl w:val="0"/>
              <w:spacing w:line="360" w:lineRule="auto"/>
              <w:jc w:val="center"/>
              <w:rPr>
                <w:rFonts w:ascii="Times New Roman" w:hAnsi="Times New Roman" w:eastAsia="宋体" w:cs="Times New Roman"/>
                <w:color w:val="auto"/>
                <w:kern w:val="2"/>
                <w:sz w:val="20"/>
                <w:szCs w:val="20"/>
                <w:lang w:eastAsia="zh-CN"/>
              </w:rPr>
            </w:pPr>
          </w:p>
        </w:tc>
        <w:tc>
          <w:tcPr>
            <w:tcW w:w="1349" w:type="pct"/>
            <w:tcBorders>
              <w:top w:val="single" w:color="auto" w:sz="4" w:space="0"/>
              <w:bottom w:val="single" w:color="auto" w:sz="4" w:space="0"/>
            </w:tcBorders>
          </w:tcPr>
          <w:p w14:paraId="1C99C11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584" w:type="pct"/>
            <w:tcBorders>
              <w:top w:val="single" w:color="auto" w:sz="4" w:space="0"/>
              <w:bottom w:val="single" w:color="auto" w:sz="4" w:space="0"/>
            </w:tcBorders>
          </w:tcPr>
          <w:p w14:paraId="3331B2F4">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c>
          <w:tcPr>
            <w:tcW w:w="1349" w:type="pct"/>
            <w:tcBorders>
              <w:top w:val="single" w:color="auto" w:sz="4" w:space="0"/>
              <w:bottom w:val="single" w:color="auto" w:sz="4" w:space="0"/>
            </w:tcBorders>
          </w:tcPr>
          <w:p w14:paraId="03176FB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582" w:type="pct"/>
            <w:tcBorders>
              <w:top w:val="single" w:color="auto" w:sz="4" w:space="0"/>
              <w:bottom w:val="single" w:color="auto" w:sz="4" w:space="0"/>
            </w:tcBorders>
          </w:tcPr>
          <w:p w14:paraId="049BA10C">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r>
      <w:tr w14:paraId="0825B6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36" w:type="pct"/>
            <w:gridSpan w:val="2"/>
            <w:tcBorders>
              <w:top w:val="single" w:color="auto" w:sz="4" w:space="0"/>
            </w:tcBorders>
          </w:tcPr>
          <w:p w14:paraId="21EA185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pSPV</w:t>
            </w:r>
          </w:p>
        </w:tc>
        <w:tc>
          <w:tcPr>
            <w:tcW w:w="1349" w:type="pct"/>
            <w:tcBorders>
              <w:top w:val="single" w:color="auto" w:sz="4" w:space="0"/>
            </w:tcBorders>
          </w:tcPr>
          <w:p w14:paraId="1C88189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2.307 (1.952,2.726)</w:t>
            </w:r>
          </w:p>
        </w:tc>
        <w:tc>
          <w:tcPr>
            <w:tcW w:w="584" w:type="pct"/>
            <w:tcBorders>
              <w:top w:val="single" w:color="auto" w:sz="4" w:space="0"/>
            </w:tcBorders>
          </w:tcPr>
          <w:p w14:paraId="1B627D8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349" w:type="pct"/>
            <w:tcBorders>
              <w:top w:val="single" w:color="auto" w:sz="4" w:space="0"/>
            </w:tcBorders>
          </w:tcPr>
          <w:p w14:paraId="20DF8F0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1.042 (0.840,1.292)</w:t>
            </w:r>
          </w:p>
        </w:tc>
        <w:tc>
          <w:tcPr>
            <w:tcW w:w="582" w:type="pct"/>
            <w:tcBorders>
              <w:top w:val="single" w:color="auto" w:sz="4" w:space="0"/>
            </w:tcBorders>
          </w:tcPr>
          <w:p w14:paraId="1F6582C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0.708</w:t>
            </w:r>
          </w:p>
        </w:tc>
      </w:tr>
      <w:tr w14:paraId="024180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36" w:type="pct"/>
            <w:gridSpan w:val="2"/>
          </w:tcPr>
          <w:p w14:paraId="4D649DD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pMV</w:t>
            </w:r>
          </w:p>
        </w:tc>
        <w:tc>
          <w:tcPr>
            <w:tcW w:w="1349" w:type="pct"/>
          </w:tcPr>
          <w:p w14:paraId="41AFFD9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2.201 (1.874,2.586)</w:t>
            </w:r>
          </w:p>
        </w:tc>
        <w:tc>
          <w:tcPr>
            <w:tcW w:w="584" w:type="pct"/>
          </w:tcPr>
          <w:p w14:paraId="45F808E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349" w:type="pct"/>
          </w:tcPr>
          <w:p w14:paraId="216B5EC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1.141 (0.936,1.391)</w:t>
            </w:r>
          </w:p>
        </w:tc>
        <w:tc>
          <w:tcPr>
            <w:tcW w:w="582" w:type="pct"/>
          </w:tcPr>
          <w:p w14:paraId="5EC48F7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0.191</w:t>
            </w:r>
          </w:p>
        </w:tc>
      </w:tr>
      <w:tr w14:paraId="1AAD17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36" w:type="pct"/>
            <w:gridSpan w:val="2"/>
          </w:tcPr>
          <w:p w14:paraId="55147F3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iSCPV</w:t>
            </w:r>
          </w:p>
        </w:tc>
        <w:tc>
          <w:tcPr>
            <w:tcW w:w="1349" w:type="pct"/>
          </w:tcPr>
          <w:p w14:paraId="3847FDB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1.788 (1.186,2.696)</w:t>
            </w:r>
          </w:p>
        </w:tc>
        <w:tc>
          <w:tcPr>
            <w:tcW w:w="584" w:type="pct"/>
          </w:tcPr>
          <w:p w14:paraId="227425A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0.006</w:t>
            </w:r>
          </w:p>
        </w:tc>
        <w:tc>
          <w:tcPr>
            <w:tcW w:w="1349" w:type="pct"/>
          </w:tcPr>
          <w:p w14:paraId="2D7F697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1.300 (0.794,2.129)</w:t>
            </w:r>
          </w:p>
        </w:tc>
        <w:tc>
          <w:tcPr>
            <w:tcW w:w="582" w:type="pct"/>
          </w:tcPr>
          <w:p w14:paraId="25E2008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0.297</w:t>
            </w:r>
          </w:p>
        </w:tc>
      </w:tr>
      <w:tr w14:paraId="05AC6A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530" w:type="pct"/>
            <w:vMerge w:val="restart"/>
            <w:vAlign w:val="center"/>
          </w:tcPr>
          <w:p w14:paraId="2D6C5C85">
            <w:pPr>
              <w:widowControl w:val="0"/>
              <w:spacing w:line="360" w:lineRule="auto"/>
              <w:jc w:val="center"/>
              <w:rPr>
                <w:rFonts w:ascii="Times New Roman" w:hAnsi="Times New Roman" w:eastAsia="宋体" w:cs="Times New Roman"/>
                <w:color w:val="auto"/>
                <w:kern w:val="2"/>
                <w:sz w:val="20"/>
                <w:szCs w:val="20"/>
                <w:vertAlign w:val="superscript"/>
                <w:lang w:eastAsia="zh-CN"/>
              </w:rPr>
            </w:pPr>
            <w:r>
              <w:rPr>
                <w:rFonts w:ascii="Times New Roman" w:hAnsi="Times New Roman" w:eastAsia="宋体" w:cs="Times New Roman"/>
                <w:color w:val="auto"/>
                <w:kern w:val="2"/>
                <w:sz w:val="20"/>
                <w:szCs w:val="20"/>
                <w:lang w:eastAsia="zh-CN"/>
              </w:rPr>
              <w:t xml:space="preserve">tF </w:t>
            </w:r>
            <w:r>
              <w:rPr>
                <w:rFonts w:ascii="Times New Roman" w:hAnsi="Times New Roman" w:eastAsia="宋体" w:cs="Times New Roman"/>
                <w:color w:val="auto"/>
                <w:kern w:val="2"/>
                <w:sz w:val="20"/>
                <w:szCs w:val="20"/>
                <w:vertAlign w:val="superscript"/>
                <w:lang w:eastAsia="zh-CN"/>
              </w:rPr>
              <w:t>b</w:t>
            </w:r>
          </w:p>
        </w:tc>
        <w:tc>
          <w:tcPr>
            <w:tcW w:w="606" w:type="pct"/>
          </w:tcPr>
          <w:p w14:paraId="08783B4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tF≥3.5mm</w:t>
            </w:r>
          </w:p>
        </w:tc>
        <w:tc>
          <w:tcPr>
            <w:tcW w:w="1349" w:type="pct"/>
          </w:tcPr>
          <w:p w14:paraId="4549A80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1.597 (1.249,2.043)</w:t>
            </w:r>
          </w:p>
        </w:tc>
        <w:tc>
          <w:tcPr>
            <w:tcW w:w="584" w:type="pct"/>
          </w:tcPr>
          <w:p w14:paraId="3E36EBE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349" w:type="pct"/>
          </w:tcPr>
          <w:p w14:paraId="670BFD4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1.112 (0.834,1.484)</w:t>
            </w:r>
          </w:p>
        </w:tc>
        <w:tc>
          <w:tcPr>
            <w:tcW w:w="582" w:type="pct"/>
          </w:tcPr>
          <w:p w14:paraId="2A9F2FB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0.469</w:t>
            </w:r>
          </w:p>
        </w:tc>
      </w:tr>
      <w:tr w14:paraId="69D8D6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530" w:type="pct"/>
            <w:vMerge w:val="continue"/>
            <w:vAlign w:val="center"/>
          </w:tcPr>
          <w:p w14:paraId="1ADC1FAF">
            <w:pPr>
              <w:widowControl w:val="0"/>
              <w:spacing w:line="360" w:lineRule="auto"/>
              <w:jc w:val="center"/>
              <w:rPr>
                <w:rFonts w:ascii="Times New Roman" w:hAnsi="Times New Roman" w:eastAsia="宋体" w:cs="Times New Roman"/>
                <w:color w:val="auto"/>
                <w:kern w:val="2"/>
                <w:sz w:val="20"/>
                <w:szCs w:val="20"/>
                <w:lang w:eastAsia="zh-CN"/>
              </w:rPr>
            </w:pPr>
          </w:p>
        </w:tc>
        <w:tc>
          <w:tcPr>
            <w:tcW w:w="606" w:type="pct"/>
          </w:tcPr>
          <w:p w14:paraId="3E54D75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tF&lt;2.0mm</w:t>
            </w:r>
          </w:p>
        </w:tc>
        <w:tc>
          <w:tcPr>
            <w:tcW w:w="1349" w:type="pct"/>
          </w:tcPr>
          <w:p w14:paraId="3CE6B6B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0.655 (0.438,0.979)</w:t>
            </w:r>
          </w:p>
        </w:tc>
        <w:tc>
          <w:tcPr>
            <w:tcW w:w="584" w:type="pct"/>
          </w:tcPr>
          <w:p w14:paraId="35E9327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0.039</w:t>
            </w:r>
          </w:p>
        </w:tc>
        <w:tc>
          <w:tcPr>
            <w:tcW w:w="1349" w:type="pct"/>
          </w:tcPr>
          <w:p w14:paraId="1781731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0.714 (0.448,1.139)</w:t>
            </w:r>
          </w:p>
        </w:tc>
        <w:tc>
          <w:tcPr>
            <w:tcW w:w="582" w:type="pct"/>
          </w:tcPr>
          <w:p w14:paraId="0713163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0.158</w:t>
            </w:r>
          </w:p>
        </w:tc>
      </w:tr>
      <w:tr w14:paraId="1EA808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530" w:type="pct"/>
            <w:vMerge w:val="restart"/>
            <w:vAlign w:val="center"/>
          </w:tcPr>
          <w:p w14:paraId="25652B5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 xml:space="preserve">tS </w:t>
            </w:r>
            <w:r>
              <w:rPr>
                <w:rFonts w:ascii="Times New Roman" w:hAnsi="Times New Roman" w:eastAsia="宋体" w:cs="Times New Roman"/>
                <w:color w:val="auto"/>
                <w:kern w:val="2"/>
                <w:sz w:val="20"/>
                <w:szCs w:val="20"/>
                <w:vertAlign w:val="superscript"/>
                <w:lang w:eastAsia="zh-CN"/>
              </w:rPr>
              <w:t>b</w:t>
            </w:r>
          </w:p>
        </w:tc>
        <w:tc>
          <w:tcPr>
            <w:tcW w:w="606" w:type="pct"/>
          </w:tcPr>
          <w:p w14:paraId="0F543C2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tS≥3.0mm</w:t>
            </w:r>
          </w:p>
        </w:tc>
        <w:tc>
          <w:tcPr>
            <w:tcW w:w="1349" w:type="pct"/>
          </w:tcPr>
          <w:p w14:paraId="4695B3A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1.215 (0.954,1.546)</w:t>
            </w:r>
          </w:p>
        </w:tc>
        <w:tc>
          <w:tcPr>
            <w:tcW w:w="584" w:type="pct"/>
          </w:tcPr>
          <w:p w14:paraId="79048C0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0.114</w:t>
            </w:r>
          </w:p>
        </w:tc>
        <w:tc>
          <w:tcPr>
            <w:tcW w:w="1349" w:type="pct"/>
          </w:tcPr>
          <w:p w14:paraId="67A1FB3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1.026 (0.772,1.363)</w:t>
            </w:r>
          </w:p>
        </w:tc>
        <w:tc>
          <w:tcPr>
            <w:tcW w:w="582" w:type="pct"/>
          </w:tcPr>
          <w:p w14:paraId="443061B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0.861</w:t>
            </w:r>
          </w:p>
        </w:tc>
      </w:tr>
      <w:tr w14:paraId="14F7BC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530" w:type="pct"/>
            <w:vMerge w:val="continue"/>
            <w:tcBorders>
              <w:bottom w:val="single" w:color="auto" w:sz="12" w:space="0"/>
            </w:tcBorders>
          </w:tcPr>
          <w:p w14:paraId="17E5BF6E">
            <w:pPr>
              <w:widowControl w:val="0"/>
              <w:spacing w:line="360" w:lineRule="auto"/>
              <w:jc w:val="center"/>
              <w:rPr>
                <w:rFonts w:ascii="Times New Roman" w:hAnsi="Times New Roman" w:eastAsia="宋体" w:cs="Times New Roman"/>
                <w:color w:val="auto"/>
                <w:kern w:val="2"/>
                <w:sz w:val="20"/>
                <w:szCs w:val="20"/>
                <w:lang w:eastAsia="zh-CN"/>
              </w:rPr>
            </w:pPr>
          </w:p>
        </w:tc>
        <w:tc>
          <w:tcPr>
            <w:tcW w:w="606" w:type="pct"/>
            <w:tcBorders>
              <w:bottom w:val="single" w:color="auto" w:sz="12" w:space="0"/>
            </w:tcBorders>
          </w:tcPr>
          <w:p w14:paraId="077C22B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tS&lt;2.0mm</w:t>
            </w:r>
          </w:p>
        </w:tc>
        <w:tc>
          <w:tcPr>
            <w:tcW w:w="1349" w:type="pct"/>
            <w:tcBorders>
              <w:bottom w:val="single" w:color="auto" w:sz="12" w:space="0"/>
            </w:tcBorders>
          </w:tcPr>
          <w:p w14:paraId="6CFF242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0.654 (0.469,0.911)</w:t>
            </w:r>
          </w:p>
        </w:tc>
        <w:tc>
          <w:tcPr>
            <w:tcW w:w="584" w:type="pct"/>
            <w:tcBorders>
              <w:bottom w:val="single" w:color="auto" w:sz="12" w:space="0"/>
            </w:tcBorders>
          </w:tcPr>
          <w:p w14:paraId="69F1A40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0.012</w:t>
            </w:r>
          </w:p>
        </w:tc>
        <w:tc>
          <w:tcPr>
            <w:tcW w:w="1349" w:type="pct"/>
            <w:tcBorders>
              <w:bottom w:val="single" w:color="auto" w:sz="12" w:space="0"/>
            </w:tcBorders>
          </w:tcPr>
          <w:p w14:paraId="0355A93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0.815 (0.552,1.203)</w:t>
            </w:r>
          </w:p>
        </w:tc>
        <w:tc>
          <w:tcPr>
            <w:tcW w:w="582" w:type="pct"/>
            <w:tcBorders>
              <w:bottom w:val="single" w:color="auto" w:sz="12" w:space="0"/>
            </w:tcBorders>
          </w:tcPr>
          <w:p w14:paraId="7531C9D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0.303</w:t>
            </w:r>
          </w:p>
        </w:tc>
      </w:tr>
    </w:tbl>
    <w:p w14:paraId="23F2AB04">
      <w:pPr>
        <w:widowControl w:val="0"/>
        <w:jc w:val="both"/>
        <w:rPr>
          <w:rFonts w:ascii="Times New Roman" w:hAnsi="Times New Roman" w:cs="Times New Roman"/>
          <w:iCs/>
          <w:color w:val="auto"/>
        </w:rPr>
        <w:sectPr>
          <w:pgSz w:w="12240" w:h="15840"/>
          <w:pgMar w:top="1440" w:right="1440" w:bottom="1440" w:left="1440" w:header="720" w:footer="720" w:gutter="0"/>
          <w:cols w:space="720" w:num="1"/>
          <w:docGrid w:linePitch="360" w:charSpace="0"/>
        </w:sectPr>
      </w:pPr>
      <w:r>
        <w:rPr>
          <w:rFonts w:ascii="Times New Roman" w:hAnsi="Times New Roman" w:eastAsia="宋体" w:cs="Times New Roman"/>
          <w:color w:val="auto"/>
          <w:kern w:val="2"/>
          <w:vertAlign w:val="superscript"/>
          <w:lang w:eastAsia="zh-CN"/>
        </w:rPr>
        <w:t xml:space="preserve">a </w:t>
      </w:r>
      <w:r>
        <w:rPr>
          <w:rFonts w:ascii="Times New Roman" w:hAnsi="Times New Roman" w:eastAsia="宋体" w:cs="Times New Roman"/>
          <w:color w:val="auto"/>
          <w:kern w:val="2"/>
          <w:lang w:eastAsia="zh-CN"/>
        </w:rPr>
        <w:t>This model consists of age at death, sex, heart weight and ASFT.</w:t>
      </w:r>
      <w:r>
        <w:rPr>
          <w:rFonts w:ascii="Times New Roman" w:hAnsi="Times New Roman" w:cs="Times New Roman"/>
          <w:color w:val="auto"/>
        </w:rPr>
        <w:t xml:space="preserve"> </w:t>
      </w:r>
      <w:r>
        <w:rPr>
          <w:rFonts w:ascii="Times New Roman" w:hAnsi="Times New Roman" w:cs="Times New Roman"/>
          <w:color w:val="auto"/>
          <w:vertAlign w:val="superscript"/>
        </w:rPr>
        <w:t>b</w:t>
      </w:r>
      <w:r>
        <w:rPr>
          <w:rFonts w:ascii="Times New Roman" w:hAnsi="Times New Roman" w:cs="Times New Roman"/>
          <w:color w:val="auto"/>
        </w:rPr>
        <w:t xml:space="preserve"> Both tF and tS were converted to categorical variables divided by quartiles (Q1, Q3) in 1305 cases, and </w:t>
      </w:r>
      <w:r>
        <w:rPr>
          <w:rFonts w:hint="eastAsia" w:ascii="Times New Roman" w:hAnsi="Times New Roman" w:cs="Times New Roman"/>
          <w:color w:val="auto"/>
        </w:rPr>
        <w:t>X&lt;Q1 and X</w:t>
      </w:r>
      <w:r>
        <w:rPr>
          <w:rFonts w:ascii="Times New Roman" w:hAnsi="Times New Roman" w:cs="Times New Roman"/>
          <w:color w:val="auto"/>
        </w:rPr>
        <w:t>≥</w:t>
      </w:r>
      <w:r>
        <w:rPr>
          <w:rFonts w:hint="eastAsia" w:ascii="Times New Roman" w:hAnsi="Times New Roman" w:cs="Times New Roman"/>
          <w:color w:val="auto"/>
        </w:rPr>
        <w:t>Q3 were compared to Q1</w:t>
      </w:r>
      <w:r>
        <w:rPr>
          <w:rFonts w:ascii="Times New Roman" w:hAnsi="Times New Roman" w:cs="Times New Roman"/>
          <w:color w:val="auto"/>
        </w:rPr>
        <w:t>≤</w:t>
      </w:r>
      <w:r>
        <w:rPr>
          <w:rFonts w:hint="eastAsia" w:ascii="Times New Roman" w:hAnsi="Times New Roman" w:cs="Times New Roman"/>
          <w:color w:val="auto"/>
        </w:rPr>
        <w:t>X&lt;Q3</w:t>
      </w:r>
      <w:r>
        <w:rPr>
          <w:rFonts w:ascii="Times New Roman" w:hAnsi="Times New Roman" w:cs="Times New Roman"/>
          <w:color w:val="auto"/>
        </w:rPr>
        <w:t>. pSPV=perimeter of supra-valve; pMV=perimeter of mid-valve; iSCPV=interval between supraventricular crest-pulmonary valve; tF=thickness of free wall; tS=thickness of septum;</w:t>
      </w:r>
      <w:r>
        <w:rPr>
          <w:rFonts w:ascii="Times New Roman" w:hAnsi="Times New Roman" w:cs="Times New Roman"/>
          <w:iCs/>
          <w:color w:val="auto"/>
        </w:rPr>
        <w:t xml:space="preserve"> CVD=cardiovascular disease.</w:t>
      </w:r>
    </w:p>
    <w:p w14:paraId="6D3FFA67">
      <w:pPr>
        <w:jc w:val="both"/>
        <w:rPr>
          <w:rFonts w:ascii="Times New Roman" w:hAnsi="Times New Roman" w:cs="Times New Roman"/>
          <w:color w:val="auto"/>
        </w:rPr>
      </w:pPr>
      <w:r>
        <w:rPr>
          <w:rFonts w:ascii="Times New Roman" w:hAnsi="Times New Roman" w:cs="Times New Roman"/>
          <w:b/>
          <w:bCs/>
          <w:color w:val="auto"/>
        </w:rPr>
        <w:t>Table S3</w:t>
      </w:r>
      <w:r>
        <w:rPr>
          <w:rFonts w:ascii="Times New Roman" w:hAnsi="Times New Roman" w:cs="Times New Roman"/>
          <w:color w:val="auto"/>
        </w:rPr>
        <w:t xml:space="preserve">. </w:t>
      </w:r>
      <w:r>
        <w:rPr>
          <w:rFonts w:ascii="Times New Roman" w:hAnsi="Times New Roman" w:eastAsia="宋体" w:cs="Times New Roman"/>
          <w:color w:val="auto"/>
          <w:kern w:val="2"/>
          <w:lang w:eastAsia="zh-CN"/>
        </w:rPr>
        <w:t xml:space="preserve">Logistic Regression Analysis of Association of CVDs Morbidity with pSBV in </w:t>
      </w:r>
      <w:r>
        <w:rPr>
          <w:rFonts w:ascii="Times New Roman" w:hAnsi="Times New Roman" w:cs="Times New Roman"/>
          <w:color w:val="auto"/>
        </w:rPr>
        <w:t>Stage Two</w:t>
      </w:r>
    </w:p>
    <w:p w14:paraId="7ED8511B">
      <w:pPr>
        <w:widowControl w:val="0"/>
        <w:jc w:val="both"/>
        <w:rPr>
          <w:rFonts w:ascii="Times New Roman" w:hAnsi="Times New Roman" w:cs="Times New Roman"/>
          <w:iCs/>
          <w:color w:val="auto"/>
        </w:rPr>
      </w:pPr>
    </w:p>
    <w:tbl>
      <w:tblPr>
        <w:tblStyle w:val="53"/>
        <w:tblW w:w="907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77"/>
        <w:gridCol w:w="2016"/>
        <w:gridCol w:w="961"/>
        <w:gridCol w:w="1984"/>
        <w:gridCol w:w="1135"/>
      </w:tblGrid>
      <w:tr w14:paraId="31F872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977" w:type="dxa"/>
            <w:vMerge w:val="restart"/>
            <w:tcBorders>
              <w:top w:val="single" w:color="auto" w:sz="12" w:space="0"/>
              <w:bottom w:val="nil"/>
            </w:tcBorders>
            <w:vAlign w:val="center"/>
          </w:tcPr>
          <w:p w14:paraId="6B6A5FA9">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Variables</w:t>
            </w:r>
          </w:p>
        </w:tc>
        <w:tc>
          <w:tcPr>
            <w:tcW w:w="2977" w:type="dxa"/>
            <w:gridSpan w:val="2"/>
            <w:tcBorders>
              <w:top w:val="single" w:color="auto" w:sz="12" w:space="0"/>
              <w:bottom w:val="single" w:color="auto" w:sz="4" w:space="0"/>
            </w:tcBorders>
          </w:tcPr>
          <w:p w14:paraId="09C4C58F">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Univariate</w:t>
            </w:r>
          </w:p>
        </w:tc>
        <w:tc>
          <w:tcPr>
            <w:tcW w:w="3119" w:type="dxa"/>
            <w:gridSpan w:val="2"/>
            <w:tcBorders>
              <w:top w:val="single" w:color="auto" w:sz="12" w:space="0"/>
              <w:bottom w:val="single" w:color="auto" w:sz="4" w:space="0"/>
            </w:tcBorders>
          </w:tcPr>
          <w:p w14:paraId="7A88284D">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 xml:space="preserve">Multivariate </w:t>
            </w:r>
            <w:r>
              <w:rPr>
                <w:rFonts w:ascii="Times New Roman" w:hAnsi="Times New Roman" w:eastAsia="宋体" w:cs="Times New Roman"/>
                <w:b/>
                <w:color w:val="auto"/>
                <w:kern w:val="2"/>
                <w:sz w:val="20"/>
                <w:szCs w:val="20"/>
                <w:vertAlign w:val="superscript"/>
                <w:lang w:eastAsia="zh-CN"/>
              </w:rPr>
              <w:t>a</w:t>
            </w:r>
          </w:p>
        </w:tc>
      </w:tr>
      <w:tr w14:paraId="32B4BD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jc w:val="center"/>
        </w:trPr>
        <w:tc>
          <w:tcPr>
            <w:tcW w:w="2977" w:type="dxa"/>
            <w:vMerge w:val="continue"/>
            <w:tcBorders>
              <w:top w:val="nil"/>
              <w:bottom w:val="single" w:color="auto" w:sz="4" w:space="0"/>
            </w:tcBorders>
          </w:tcPr>
          <w:p w14:paraId="10930AFD">
            <w:pPr>
              <w:widowControl w:val="0"/>
              <w:spacing w:line="360" w:lineRule="auto"/>
              <w:jc w:val="center"/>
              <w:rPr>
                <w:rFonts w:ascii="Times New Roman" w:hAnsi="Times New Roman" w:eastAsia="宋体" w:cs="Times New Roman"/>
                <w:color w:val="auto"/>
                <w:kern w:val="2"/>
                <w:sz w:val="20"/>
                <w:szCs w:val="20"/>
                <w:lang w:eastAsia="zh-CN"/>
              </w:rPr>
            </w:pPr>
          </w:p>
        </w:tc>
        <w:tc>
          <w:tcPr>
            <w:tcW w:w="2016" w:type="dxa"/>
            <w:tcBorders>
              <w:top w:val="single" w:color="auto" w:sz="4" w:space="0"/>
              <w:bottom w:val="single" w:color="auto" w:sz="4" w:space="0"/>
            </w:tcBorders>
          </w:tcPr>
          <w:p w14:paraId="76AD8FA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961" w:type="dxa"/>
            <w:tcBorders>
              <w:top w:val="single" w:color="auto" w:sz="4" w:space="0"/>
              <w:bottom w:val="single" w:color="auto" w:sz="4" w:space="0"/>
            </w:tcBorders>
          </w:tcPr>
          <w:p w14:paraId="03CB43F2">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c>
          <w:tcPr>
            <w:tcW w:w="1984" w:type="dxa"/>
            <w:tcBorders>
              <w:top w:val="single" w:color="auto" w:sz="4" w:space="0"/>
              <w:bottom w:val="single" w:color="auto" w:sz="4" w:space="0"/>
            </w:tcBorders>
          </w:tcPr>
          <w:p w14:paraId="4636C57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1135" w:type="dxa"/>
            <w:tcBorders>
              <w:top w:val="single" w:color="auto" w:sz="4" w:space="0"/>
              <w:bottom w:val="single" w:color="auto" w:sz="4" w:space="0"/>
            </w:tcBorders>
          </w:tcPr>
          <w:p w14:paraId="7B80BF04">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r>
      <w:tr w14:paraId="0D4D14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top w:val="single" w:color="auto" w:sz="4" w:space="0"/>
            </w:tcBorders>
          </w:tcPr>
          <w:p w14:paraId="15A4034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Age at death</w:t>
            </w:r>
          </w:p>
        </w:tc>
        <w:tc>
          <w:tcPr>
            <w:tcW w:w="2016" w:type="dxa"/>
            <w:tcBorders>
              <w:top w:val="single" w:color="auto" w:sz="4" w:space="0"/>
            </w:tcBorders>
          </w:tcPr>
          <w:p w14:paraId="107C23D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1.048 (1.041,1.055)</w:t>
            </w:r>
          </w:p>
        </w:tc>
        <w:tc>
          <w:tcPr>
            <w:tcW w:w="961" w:type="dxa"/>
            <w:tcBorders>
              <w:top w:val="single" w:color="auto" w:sz="4" w:space="0"/>
            </w:tcBorders>
          </w:tcPr>
          <w:p w14:paraId="62D4EAB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18"/>
                <w:lang w:eastAsia="zh-CN"/>
              </w:rPr>
              <w:t>&lt;0.001</w:t>
            </w:r>
          </w:p>
        </w:tc>
        <w:tc>
          <w:tcPr>
            <w:tcW w:w="1984" w:type="dxa"/>
            <w:tcBorders>
              <w:top w:val="single" w:color="auto" w:sz="4" w:space="0"/>
            </w:tcBorders>
          </w:tcPr>
          <w:p w14:paraId="6AD896D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1.038 (1.031,1.046)</w:t>
            </w:r>
          </w:p>
        </w:tc>
        <w:tc>
          <w:tcPr>
            <w:tcW w:w="1135" w:type="dxa"/>
            <w:tcBorders>
              <w:top w:val="single" w:color="auto" w:sz="4" w:space="0"/>
            </w:tcBorders>
          </w:tcPr>
          <w:p w14:paraId="7371FEE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14EB05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4BBF109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Sex</w:t>
            </w:r>
          </w:p>
        </w:tc>
        <w:tc>
          <w:tcPr>
            <w:tcW w:w="2016" w:type="dxa"/>
          </w:tcPr>
          <w:p w14:paraId="413EB40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1.938 (1.608,2.335)</w:t>
            </w:r>
          </w:p>
        </w:tc>
        <w:tc>
          <w:tcPr>
            <w:tcW w:w="961" w:type="dxa"/>
          </w:tcPr>
          <w:p w14:paraId="7CF0D54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56B0EFC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1.342 (1.047,1.721)</w:t>
            </w:r>
          </w:p>
        </w:tc>
        <w:tc>
          <w:tcPr>
            <w:tcW w:w="1135" w:type="dxa"/>
          </w:tcPr>
          <w:p w14:paraId="4C93B91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0.020</w:t>
            </w:r>
          </w:p>
        </w:tc>
      </w:tr>
      <w:tr w14:paraId="790E00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6DD33A1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Heart weight</w:t>
            </w:r>
          </w:p>
        </w:tc>
        <w:tc>
          <w:tcPr>
            <w:tcW w:w="2016" w:type="dxa"/>
          </w:tcPr>
          <w:p w14:paraId="5895D6C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1.012 (1.011,1.013)</w:t>
            </w:r>
          </w:p>
        </w:tc>
        <w:tc>
          <w:tcPr>
            <w:tcW w:w="961" w:type="dxa"/>
          </w:tcPr>
          <w:p w14:paraId="5FD8899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217B5D9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1.009 (1.008,1.011)</w:t>
            </w:r>
          </w:p>
        </w:tc>
        <w:tc>
          <w:tcPr>
            <w:tcW w:w="1135" w:type="dxa"/>
          </w:tcPr>
          <w:p w14:paraId="4D7E00C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2A2E41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274561D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ASFT</w:t>
            </w:r>
          </w:p>
        </w:tc>
        <w:tc>
          <w:tcPr>
            <w:tcW w:w="2016" w:type="dxa"/>
          </w:tcPr>
          <w:p w14:paraId="395F0E4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1.238 (1.143,1.341)</w:t>
            </w:r>
          </w:p>
        </w:tc>
        <w:tc>
          <w:tcPr>
            <w:tcW w:w="961" w:type="dxa"/>
          </w:tcPr>
          <w:p w14:paraId="7C07E6B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3F982C0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1.114 (1.004,1.236)</w:t>
            </w:r>
          </w:p>
        </w:tc>
        <w:tc>
          <w:tcPr>
            <w:tcW w:w="1135" w:type="dxa"/>
          </w:tcPr>
          <w:p w14:paraId="3945914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0.042</w:t>
            </w:r>
          </w:p>
        </w:tc>
      </w:tr>
      <w:tr w14:paraId="649AE8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bottom w:val="single" w:color="auto" w:sz="12" w:space="0"/>
            </w:tcBorders>
          </w:tcPr>
          <w:p w14:paraId="079E35D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 xml:space="preserve">pSBV≥7.7cm vs pSBV&lt;7.7cm </w:t>
            </w:r>
            <w:r>
              <w:rPr>
                <w:rFonts w:ascii="Times New Roman" w:hAnsi="Times New Roman" w:eastAsia="宋体" w:cs="Times New Roman"/>
                <w:color w:val="auto"/>
                <w:kern w:val="2"/>
                <w:sz w:val="20"/>
                <w:szCs w:val="20"/>
                <w:vertAlign w:val="superscript"/>
                <w:lang w:eastAsia="zh-CN"/>
              </w:rPr>
              <w:t>b</w:t>
            </w:r>
          </w:p>
        </w:tc>
        <w:tc>
          <w:tcPr>
            <w:tcW w:w="2016" w:type="dxa"/>
            <w:tcBorders>
              <w:bottom w:val="single" w:color="auto" w:sz="12" w:space="0"/>
            </w:tcBorders>
          </w:tcPr>
          <w:p w14:paraId="4667D95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2.246 (1.895,2.661)</w:t>
            </w:r>
          </w:p>
        </w:tc>
        <w:tc>
          <w:tcPr>
            <w:tcW w:w="961" w:type="dxa"/>
            <w:tcBorders>
              <w:bottom w:val="single" w:color="auto" w:sz="12" w:space="0"/>
            </w:tcBorders>
          </w:tcPr>
          <w:p w14:paraId="7E8C42A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Borders>
              <w:bottom w:val="single" w:color="auto" w:sz="12" w:space="0"/>
            </w:tcBorders>
          </w:tcPr>
          <w:p w14:paraId="7DD9699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1.264 (1.031,1.549)</w:t>
            </w:r>
          </w:p>
        </w:tc>
        <w:tc>
          <w:tcPr>
            <w:tcW w:w="1135" w:type="dxa"/>
            <w:tcBorders>
              <w:bottom w:val="single" w:color="auto" w:sz="12" w:space="0"/>
            </w:tcBorders>
          </w:tcPr>
          <w:p w14:paraId="3B0FBAE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0.024</w:t>
            </w:r>
          </w:p>
        </w:tc>
      </w:tr>
    </w:tbl>
    <w:p w14:paraId="0BD39F28">
      <w:pPr>
        <w:widowControl w:val="0"/>
        <w:jc w:val="both"/>
        <w:rPr>
          <w:rFonts w:ascii="Times New Roman" w:hAnsi="Times New Roman" w:cs="Times New Roman"/>
          <w:iCs/>
          <w:color w:val="auto"/>
        </w:rPr>
        <w:sectPr>
          <w:pgSz w:w="12240" w:h="15840"/>
          <w:pgMar w:top="1440" w:right="1440" w:bottom="1440" w:left="1440" w:header="720" w:footer="720" w:gutter="0"/>
          <w:cols w:space="720" w:num="1"/>
          <w:docGrid w:linePitch="360" w:charSpace="0"/>
        </w:sectPr>
      </w:pPr>
      <w:r>
        <w:rPr>
          <w:rFonts w:ascii="Times New Roman" w:hAnsi="Times New Roman" w:cs="Times New Roman"/>
          <w:iCs/>
          <w:color w:val="auto"/>
          <w:vertAlign w:val="superscript"/>
        </w:rPr>
        <w:t xml:space="preserve">a </w:t>
      </w:r>
      <w:r>
        <w:rPr>
          <w:rFonts w:ascii="Times New Roman" w:hAnsi="Times New Roman" w:cs="Times New Roman"/>
          <w:iCs/>
          <w:color w:val="auto"/>
        </w:rPr>
        <w:t xml:space="preserve">The model is adjusted for age at death, sex, heart weight and ASFT. </w:t>
      </w:r>
      <w:r>
        <w:rPr>
          <w:rFonts w:ascii="Times New Roman" w:hAnsi="Times New Roman" w:cs="Times New Roman"/>
          <w:color w:val="auto"/>
          <w:vertAlign w:val="superscript"/>
        </w:rPr>
        <w:t>b</w:t>
      </w:r>
      <w:r>
        <w:rPr>
          <w:rFonts w:ascii="Times New Roman" w:hAnsi="Times New Roman" w:cs="Times New Roman"/>
          <w:color w:val="auto"/>
        </w:rPr>
        <w:t xml:space="preserve"> </w:t>
      </w:r>
      <w:r>
        <w:rPr>
          <w:rFonts w:hint="eastAsia" w:ascii="Times New Roman" w:hAnsi="Times New Roman" w:cs="Times New Roman"/>
          <w:color w:val="auto"/>
          <w:lang w:eastAsia="zh-CN"/>
        </w:rPr>
        <w:t>p</w:t>
      </w:r>
      <w:r>
        <w:rPr>
          <w:rFonts w:ascii="Times New Roman" w:hAnsi="Times New Roman" w:cs="Times New Roman"/>
          <w:color w:val="auto"/>
        </w:rPr>
        <w:t xml:space="preserve">SBV was converted to a </w:t>
      </w:r>
      <w:r>
        <w:rPr>
          <w:rFonts w:hint="eastAsia" w:ascii="Times New Roman" w:hAnsi="Times New Roman" w:cs="Times New Roman"/>
          <w:color w:val="auto"/>
        </w:rPr>
        <w:t>dichotomous variable</w:t>
      </w:r>
      <w:r>
        <w:rPr>
          <w:rFonts w:ascii="Times New Roman" w:hAnsi="Times New Roman" w:cs="Times New Roman"/>
          <w:color w:val="auto"/>
        </w:rPr>
        <w:t xml:space="preserve"> at the cut-off of median (7.7cm) in 2370 cases.</w:t>
      </w:r>
      <w:r>
        <w:rPr>
          <w:rFonts w:ascii="Times New Roman" w:hAnsi="Times New Roman" w:cs="Times New Roman"/>
          <w:iCs/>
          <w:color w:val="auto"/>
        </w:rPr>
        <w:t xml:space="preserve"> ASFT=abdominal subcutaneous fat thickness; pSBV=perimeter of sub-valve; CVD=cardiovascular disease.</w:t>
      </w:r>
    </w:p>
    <w:p w14:paraId="7AF0D164">
      <w:pPr>
        <w:jc w:val="both"/>
        <w:rPr>
          <w:rFonts w:ascii="Times New Roman" w:hAnsi="Times New Roman" w:cs="Times New Roman"/>
          <w:color w:val="auto"/>
        </w:rPr>
      </w:pPr>
      <w:r>
        <w:rPr>
          <w:rFonts w:ascii="Times New Roman" w:hAnsi="Times New Roman" w:cs="Times New Roman"/>
          <w:b/>
          <w:bCs/>
          <w:color w:val="auto"/>
        </w:rPr>
        <w:t>Table S4</w:t>
      </w:r>
      <w:r>
        <w:rPr>
          <w:rFonts w:ascii="Times New Roman" w:hAnsi="Times New Roman" w:cs="Times New Roman"/>
          <w:color w:val="auto"/>
        </w:rPr>
        <w:t xml:space="preserve">. </w:t>
      </w:r>
      <w:r>
        <w:rPr>
          <w:rFonts w:ascii="Times New Roman" w:hAnsi="Times New Roman" w:eastAsia="宋体" w:cs="Times New Roman"/>
          <w:color w:val="auto"/>
          <w:kern w:val="2"/>
          <w:lang w:eastAsia="zh-CN"/>
        </w:rPr>
        <w:t xml:space="preserve">Logistic Regression Analysis of Association of CAS Morbidity with pSBV in </w:t>
      </w:r>
      <w:r>
        <w:rPr>
          <w:rFonts w:ascii="Times New Roman" w:hAnsi="Times New Roman" w:cs="Times New Roman"/>
          <w:color w:val="auto"/>
        </w:rPr>
        <w:t>Stage Two</w:t>
      </w:r>
    </w:p>
    <w:p w14:paraId="489E9775">
      <w:pPr>
        <w:widowControl w:val="0"/>
        <w:jc w:val="both"/>
        <w:rPr>
          <w:rFonts w:ascii="Times New Roman" w:hAnsi="Times New Roman" w:cs="Times New Roman"/>
          <w:iCs/>
          <w:color w:val="auto"/>
        </w:rPr>
      </w:pPr>
    </w:p>
    <w:tbl>
      <w:tblPr>
        <w:tblStyle w:val="53"/>
        <w:tblW w:w="907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77"/>
        <w:gridCol w:w="2016"/>
        <w:gridCol w:w="961"/>
        <w:gridCol w:w="1984"/>
        <w:gridCol w:w="1135"/>
      </w:tblGrid>
      <w:tr w14:paraId="201A8E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977" w:type="dxa"/>
            <w:vMerge w:val="restart"/>
            <w:tcBorders>
              <w:top w:val="single" w:color="auto" w:sz="12" w:space="0"/>
              <w:bottom w:val="nil"/>
            </w:tcBorders>
            <w:vAlign w:val="center"/>
          </w:tcPr>
          <w:p w14:paraId="1FB395A0">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Variables</w:t>
            </w:r>
          </w:p>
        </w:tc>
        <w:tc>
          <w:tcPr>
            <w:tcW w:w="2977" w:type="dxa"/>
            <w:gridSpan w:val="2"/>
            <w:tcBorders>
              <w:top w:val="single" w:color="auto" w:sz="12" w:space="0"/>
              <w:bottom w:val="single" w:color="auto" w:sz="4" w:space="0"/>
            </w:tcBorders>
          </w:tcPr>
          <w:p w14:paraId="2676C53E">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Univariate</w:t>
            </w:r>
          </w:p>
        </w:tc>
        <w:tc>
          <w:tcPr>
            <w:tcW w:w="3119" w:type="dxa"/>
            <w:gridSpan w:val="2"/>
            <w:tcBorders>
              <w:top w:val="single" w:color="auto" w:sz="12" w:space="0"/>
              <w:bottom w:val="single" w:color="auto" w:sz="4" w:space="0"/>
            </w:tcBorders>
          </w:tcPr>
          <w:p w14:paraId="636F4D8D">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 xml:space="preserve">Multivariate </w:t>
            </w:r>
            <w:r>
              <w:rPr>
                <w:rFonts w:ascii="Times New Roman" w:hAnsi="Times New Roman" w:eastAsia="宋体" w:cs="Times New Roman"/>
                <w:b/>
                <w:color w:val="auto"/>
                <w:kern w:val="2"/>
                <w:sz w:val="20"/>
                <w:szCs w:val="20"/>
                <w:vertAlign w:val="superscript"/>
                <w:lang w:eastAsia="zh-CN"/>
              </w:rPr>
              <w:t>a</w:t>
            </w:r>
          </w:p>
        </w:tc>
      </w:tr>
      <w:tr w14:paraId="18EEFD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jc w:val="center"/>
        </w:trPr>
        <w:tc>
          <w:tcPr>
            <w:tcW w:w="2977" w:type="dxa"/>
            <w:vMerge w:val="continue"/>
            <w:tcBorders>
              <w:top w:val="nil"/>
              <w:bottom w:val="single" w:color="auto" w:sz="4" w:space="0"/>
            </w:tcBorders>
          </w:tcPr>
          <w:p w14:paraId="1BE7B6A4">
            <w:pPr>
              <w:widowControl w:val="0"/>
              <w:spacing w:line="360" w:lineRule="auto"/>
              <w:jc w:val="center"/>
              <w:rPr>
                <w:rFonts w:ascii="Times New Roman" w:hAnsi="Times New Roman" w:eastAsia="宋体" w:cs="Times New Roman"/>
                <w:color w:val="auto"/>
                <w:kern w:val="2"/>
                <w:sz w:val="20"/>
                <w:szCs w:val="20"/>
                <w:lang w:eastAsia="zh-CN"/>
              </w:rPr>
            </w:pPr>
          </w:p>
        </w:tc>
        <w:tc>
          <w:tcPr>
            <w:tcW w:w="2016" w:type="dxa"/>
            <w:tcBorders>
              <w:top w:val="single" w:color="auto" w:sz="4" w:space="0"/>
              <w:bottom w:val="single" w:color="auto" w:sz="4" w:space="0"/>
            </w:tcBorders>
          </w:tcPr>
          <w:p w14:paraId="770BF67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961" w:type="dxa"/>
            <w:tcBorders>
              <w:top w:val="nil"/>
              <w:bottom w:val="single" w:color="auto" w:sz="4" w:space="0"/>
            </w:tcBorders>
          </w:tcPr>
          <w:p w14:paraId="05658F09">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c>
          <w:tcPr>
            <w:tcW w:w="1984" w:type="dxa"/>
            <w:tcBorders>
              <w:top w:val="single" w:color="auto" w:sz="4" w:space="0"/>
              <w:bottom w:val="single" w:color="auto" w:sz="4" w:space="0"/>
            </w:tcBorders>
          </w:tcPr>
          <w:p w14:paraId="4910440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1135" w:type="dxa"/>
            <w:tcBorders>
              <w:top w:val="nil"/>
              <w:bottom w:val="single" w:color="auto" w:sz="4" w:space="0"/>
            </w:tcBorders>
          </w:tcPr>
          <w:p w14:paraId="1A89FA67">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r>
      <w:tr w14:paraId="1775E5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top w:val="single" w:color="auto" w:sz="4" w:space="0"/>
            </w:tcBorders>
          </w:tcPr>
          <w:p w14:paraId="2DCA3D6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Age at death</w:t>
            </w:r>
          </w:p>
        </w:tc>
        <w:tc>
          <w:tcPr>
            <w:tcW w:w="2016" w:type="dxa"/>
            <w:tcBorders>
              <w:top w:val="single" w:color="auto" w:sz="4" w:space="0"/>
            </w:tcBorders>
          </w:tcPr>
          <w:p w14:paraId="4B79640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1.061 (1.052,1.069)</w:t>
            </w:r>
          </w:p>
        </w:tc>
        <w:tc>
          <w:tcPr>
            <w:tcW w:w="961" w:type="dxa"/>
            <w:tcBorders>
              <w:top w:val="single" w:color="auto" w:sz="4" w:space="0"/>
            </w:tcBorders>
          </w:tcPr>
          <w:p w14:paraId="6676CF8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18"/>
                <w:lang w:eastAsia="zh-CN"/>
              </w:rPr>
              <w:t>&lt;0.001</w:t>
            </w:r>
          </w:p>
        </w:tc>
        <w:tc>
          <w:tcPr>
            <w:tcW w:w="1984" w:type="dxa"/>
            <w:tcBorders>
              <w:top w:val="single" w:color="auto" w:sz="4" w:space="0"/>
            </w:tcBorders>
          </w:tcPr>
          <w:p w14:paraId="054A891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1.062 (1.052,1.071)</w:t>
            </w:r>
          </w:p>
        </w:tc>
        <w:tc>
          <w:tcPr>
            <w:tcW w:w="1135" w:type="dxa"/>
            <w:tcBorders>
              <w:top w:val="single" w:color="auto" w:sz="4" w:space="0"/>
            </w:tcBorders>
          </w:tcPr>
          <w:p w14:paraId="6C15378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1951ED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5187A00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Sex</w:t>
            </w:r>
          </w:p>
        </w:tc>
        <w:tc>
          <w:tcPr>
            <w:tcW w:w="2016" w:type="dxa"/>
          </w:tcPr>
          <w:p w14:paraId="473EA62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2.912 (2.302,3.684)</w:t>
            </w:r>
          </w:p>
        </w:tc>
        <w:tc>
          <w:tcPr>
            <w:tcW w:w="961" w:type="dxa"/>
          </w:tcPr>
          <w:p w14:paraId="048C9BF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26CD39B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3.184 (2.314,4.382)</w:t>
            </w:r>
          </w:p>
        </w:tc>
        <w:tc>
          <w:tcPr>
            <w:tcW w:w="1135" w:type="dxa"/>
          </w:tcPr>
          <w:p w14:paraId="4E867DD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0EB251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5DC1BD4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Heart weight</w:t>
            </w:r>
          </w:p>
        </w:tc>
        <w:tc>
          <w:tcPr>
            <w:tcW w:w="2016" w:type="dxa"/>
          </w:tcPr>
          <w:p w14:paraId="47515C7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1.011 (1.010,1.013)</w:t>
            </w:r>
          </w:p>
        </w:tc>
        <w:tc>
          <w:tcPr>
            <w:tcW w:w="961" w:type="dxa"/>
          </w:tcPr>
          <w:p w14:paraId="4B31856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52AF7F5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1.006 (1.004,1.008)</w:t>
            </w:r>
          </w:p>
        </w:tc>
        <w:tc>
          <w:tcPr>
            <w:tcW w:w="1135" w:type="dxa"/>
          </w:tcPr>
          <w:p w14:paraId="685DA89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17D094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38A42B3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ASFT</w:t>
            </w:r>
          </w:p>
        </w:tc>
        <w:tc>
          <w:tcPr>
            <w:tcW w:w="2016" w:type="dxa"/>
          </w:tcPr>
          <w:p w14:paraId="5324ECB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1.130 (1.034,1.235)</w:t>
            </w:r>
          </w:p>
        </w:tc>
        <w:tc>
          <w:tcPr>
            <w:tcW w:w="961" w:type="dxa"/>
          </w:tcPr>
          <w:p w14:paraId="57DFB62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0.007</w:t>
            </w:r>
          </w:p>
        </w:tc>
        <w:tc>
          <w:tcPr>
            <w:tcW w:w="1984" w:type="dxa"/>
          </w:tcPr>
          <w:p w14:paraId="4D48306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1.284 (1.133,1.454)</w:t>
            </w:r>
          </w:p>
        </w:tc>
        <w:tc>
          <w:tcPr>
            <w:tcW w:w="1135" w:type="dxa"/>
          </w:tcPr>
          <w:p w14:paraId="4EDF98E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31C138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bottom w:val="single" w:color="auto" w:sz="12" w:space="0"/>
            </w:tcBorders>
          </w:tcPr>
          <w:p w14:paraId="63E7C2D7">
            <w:pPr>
              <w:widowControl w:val="0"/>
              <w:spacing w:line="360" w:lineRule="auto"/>
              <w:jc w:val="center"/>
              <w:rPr>
                <w:rFonts w:ascii="Times New Roman" w:hAnsi="Times New Roman" w:eastAsia="宋体" w:cs="Times New Roman"/>
                <w:color w:val="auto"/>
                <w:kern w:val="2"/>
                <w:sz w:val="20"/>
                <w:szCs w:val="20"/>
                <w:vertAlign w:val="superscript"/>
                <w:lang w:eastAsia="zh-CN"/>
              </w:rPr>
            </w:pPr>
            <w:r>
              <w:rPr>
                <w:rFonts w:ascii="Times New Roman" w:hAnsi="Times New Roman" w:eastAsia="宋体" w:cs="Times New Roman"/>
                <w:color w:val="auto"/>
                <w:kern w:val="2"/>
                <w:sz w:val="20"/>
                <w:szCs w:val="20"/>
                <w:lang w:eastAsia="zh-CN"/>
              </w:rPr>
              <w:t xml:space="preserve">pSBV≥7.6cm vs pSBV&lt;7.6cm </w:t>
            </w:r>
            <w:r>
              <w:rPr>
                <w:rFonts w:ascii="Times New Roman" w:hAnsi="Times New Roman" w:eastAsia="宋体" w:cs="Times New Roman"/>
                <w:color w:val="auto"/>
                <w:kern w:val="2"/>
                <w:sz w:val="20"/>
                <w:szCs w:val="20"/>
                <w:vertAlign w:val="superscript"/>
                <w:lang w:eastAsia="zh-CN"/>
              </w:rPr>
              <w:t>b</w:t>
            </w:r>
          </w:p>
        </w:tc>
        <w:tc>
          <w:tcPr>
            <w:tcW w:w="2016" w:type="dxa"/>
            <w:tcBorders>
              <w:bottom w:val="single" w:color="auto" w:sz="12" w:space="0"/>
            </w:tcBorders>
          </w:tcPr>
          <w:p w14:paraId="7AEDB2A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2.174 (1.794,2.636)</w:t>
            </w:r>
          </w:p>
        </w:tc>
        <w:tc>
          <w:tcPr>
            <w:tcW w:w="961" w:type="dxa"/>
            <w:tcBorders>
              <w:bottom w:val="single" w:color="auto" w:sz="12" w:space="0"/>
            </w:tcBorders>
          </w:tcPr>
          <w:p w14:paraId="208EE98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Borders>
              <w:bottom w:val="single" w:color="auto" w:sz="12" w:space="0"/>
            </w:tcBorders>
          </w:tcPr>
          <w:p w14:paraId="343329A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1.325 (1.044,1.681)</w:t>
            </w:r>
          </w:p>
        </w:tc>
        <w:tc>
          <w:tcPr>
            <w:tcW w:w="1135" w:type="dxa"/>
            <w:tcBorders>
              <w:bottom w:val="single" w:color="auto" w:sz="12" w:space="0"/>
            </w:tcBorders>
          </w:tcPr>
          <w:p w14:paraId="73F2553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0.021</w:t>
            </w:r>
          </w:p>
        </w:tc>
      </w:tr>
    </w:tbl>
    <w:p w14:paraId="613BBCA4">
      <w:pPr>
        <w:widowControl w:val="0"/>
        <w:jc w:val="both"/>
        <w:rPr>
          <w:rFonts w:ascii="Times New Roman" w:hAnsi="Times New Roman" w:eastAsia="宋体" w:cs="Times New Roman"/>
          <w:color w:val="auto"/>
          <w:kern w:val="2"/>
          <w:sz w:val="28"/>
          <w:szCs w:val="30"/>
          <w:lang w:eastAsia="zh-CN"/>
        </w:rPr>
        <w:sectPr>
          <w:pgSz w:w="12240" w:h="15840"/>
          <w:pgMar w:top="1440" w:right="1440" w:bottom="1440" w:left="1440" w:header="720" w:footer="720" w:gutter="0"/>
          <w:cols w:space="720" w:num="1"/>
          <w:docGrid w:linePitch="360" w:charSpace="0"/>
        </w:sectPr>
      </w:pPr>
      <w:r>
        <w:rPr>
          <w:rFonts w:ascii="Times New Roman" w:hAnsi="Times New Roman" w:eastAsia="宋体" w:cs="Times New Roman"/>
          <w:color w:val="auto"/>
          <w:kern w:val="2"/>
          <w:szCs w:val="22"/>
          <w:vertAlign w:val="superscript"/>
          <w:lang w:eastAsia="zh-CN"/>
        </w:rPr>
        <w:t xml:space="preserve">a </w:t>
      </w:r>
      <w:r>
        <w:rPr>
          <w:rFonts w:ascii="Times New Roman" w:hAnsi="Times New Roman" w:eastAsia="宋体" w:cs="Times New Roman"/>
          <w:color w:val="auto"/>
          <w:kern w:val="2"/>
          <w:szCs w:val="22"/>
          <w:lang w:eastAsia="zh-CN"/>
        </w:rPr>
        <w:t>The model is adjusted for age at death, sex, heart weight</w:t>
      </w:r>
      <w:r>
        <w:rPr>
          <w:rFonts w:hint="eastAsia" w:ascii="Times New Roman" w:hAnsi="Times New Roman" w:eastAsia="宋体" w:cs="Times New Roman"/>
          <w:color w:val="auto"/>
          <w:kern w:val="2"/>
          <w:szCs w:val="22"/>
          <w:lang w:eastAsia="zh-CN"/>
        </w:rPr>
        <w:t xml:space="preserve"> and </w:t>
      </w:r>
      <w:r>
        <w:rPr>
          <w:rFonts w:ascii="Times New Roman" w:hAnsi="Times New Roman" w:eastAsia="宋体" w:cs="Times New Roman"/>
          <w:color w:val="auto"/>
          <w:kern w:val="2"/>
          <w:szCs w:val="22"/>
          <w:lang w:eastAsia="zh-CN"/>
        </w:rPr>
        <w:t xml:space="preserve">ASFT. </w:t>
      </w:r>
      <w:r>
        <w:rPr>
          <w:rFonts w:ascii="Times New Roman" w:hAnsi="Times New Roman" w:eastAsia="宋体" w:cs="Times New Roman"/>
          <w:color w:val="auto"/>
          <w:kern w:val="2"/>
          <w:szCs w:val="22"/>
          <w:vertAlign w:val="superscript"/>
          <w:lang w:eastAsia="zh-CN"/>
        </w:rPr>
        <w:t>b</w:t>
      </w:r>
      <w:r>
        <w:rPr>
          <w:rFonts w:ascii="Times New Roman" w:hAnsi="Times New Roman" w:eastAsia="宋体" w:cs="Times New Roman"/>
          <w:color w:val="auto"/>
          <w:kern w:val="2"/>
          <w:szCs w:val="22"/>
          <w:lang w:eastAsia="zh-CN"/>
        </w:rPr>
        <w:t xml:space="preserve"> </w:t>
      </w:r>
      <w:r>
        <w:rPr>
          <w:rFonts w:hint="eastAsia" w:ascii="Times New Roman" w:hAnsi="Times New Roman" w:cs="Times New Roman"/>
          <w:color w:val="auto"/>
          <w:lang w:eastAsia="zh-CN"/>
        </w:rPr>
        <w:t>p</w:t>
      </w:r>
      <w:r>
        <w:rPr>
          <w:rFonts w:ascii="Times New Roman" w:hAnsi="Times New Roman" w:cs="Times New Roman"/>
          <w:color w:val="auto"/>
        </w:rPr>
        <w:t xml:space="preserve">SBV was converted to a </w:t>
      </w:r>
      <w:r>
        <w:rPr>
          <w:rFonts w:hint="eastAsia" w:ascii="Times New Roman" w:hAnsi="Times New Roman" w:cs="Times New Roman"/>
          <w:color w:val="auto"/>
        </w:rPr>
        <w:t>dichotomous variable</w:t>
      </w:r>
      <w:r>
        <w:rPr>
          <w:rFonts w:ascii="Times New Roman" w:hAnsi="Times New Roman" w:cs="Times New Roman"/>
          <w:color w:val="auto"/>
        </w:rPr>
        <w:t xml:space="preserve"> at the cut-off of median (7.6cm) in 1753 cases. </w:t>
      </w:r>
      <w:r>
        <w:rPr>
          <w:rFonts w:ascii="Times New Roman" w:hAnsi="Times New Roman" w:eastAsia="宋体" w:cs="Times New Roman"/>
          <w:color w:val="auto"/>
          <w:kern w:val="2"/>
          <w:lang w:eastAsia="zh-CN"/>
        </w:rPr>
        <w:t xml:space="preserve">ASFT= abdominal subcutaneous fat thickness; CAS=coronary atherosclerosis; </w:t>
      </w:r>
      <w:r>
        <w:rPr>
          <w:rFonts w:ascii="Times New Roman" w:hAnsi="Times New Roman" w:cs="Times New Roman"/>
          <w:color w:val="auto"/>
        </w:rPr>
        <w:t>pSBV=perimeter of sub-valve</w:t>
      </w:r>
      <w:r>
        <w:rPr>
          <w:rFonts w:ascii="Times New Roman" w:hAnsi="Times New Roman" w:eastAsia="宋体" w:cs="Times New Roman"/>
          <w:color w:val="auto"/>
          <w:kern w:val="2"/>
          <w:lang w:eastAsia="zh-CN"/>
        </w:rPr>
        <w:t>.</w:t>
      </w:r>
    </w:p>
    <w:p w14:paraId="578C9788">
      <w:pPr>
        <w:jc w:val="both"/>
        <w:rPr>
          <w:rFonts w:ascii="Times New Roman" w:hAnsi="Times New Roman" w:cs="Times New Roman"/>
          <w:color w:val="auto"/>
        </w:rPr>
      </w:pPr>
      <w:r>
        <w:rPr>
          <w:rFonts w:ascii="Times New Roman" w:hAnsi="Times New Roman" w:eastAsia="宋体" w:cs="Times New Roman"/>
          <w:b/>
          <w:color w:val="auto"/>
          <w:kern w:val="2"/>
          <w:lang w:eastAsia="zh-CN"/>
        </w:rPr>
        <w:t>Table S5.</w:t>
      </w:r>
      <w:r>
        <w:rPr>
          <w:rFonts w:ascii="Times New Roman" w:hAnsi="Times New Roman" w:eastAsia="宋体" w:cs="Times New Roman"/>
          <w:color w:val="auto"/>
          <w:kern w:val="2"/>
          <w:lang w:eastAsia="zh-CN"/>
        </w:rPr>
        <w:t xml:space="preserve"> Logistic Regression Analysis of Association of C</w:t>
      </w:r>
      <w:r>
        <w:rPr>
          <w:rFonts w:hint="eastAsia" w:ascii="Times New Roman" w:hAnsi="Times New Roman" w:eastAsia="宋体" w:cs="Times New Roman"/>
          <w:color w:val="auto"/>
          <w:kern w:val="2"/>
          <w:lang w:val="en-US" w:eastAsia="zh-CN"/>
        </w:rPr>
        <w:t>M</w:t>
      </w:r>
      <w:r>
        <w:rPr>
          <w:rFonts w:ascii="Times New Roman" w:hAnsi="Times New Roman" w:eastAsia="宋体" w:cs="Times New Roman"/>
          <w:color w:val="auto"/>
          <w:kern w:val="2"/>
          <w:lang w:eastAsia="zh-CN"/>
        </w:rPr>
        <w:t xml:space="preserve"> Morbidity with pSBV in </w:t>
      </w:r>
      <w:r>
        <w:rPr>
          <w:rFonts w:ascii="Times New Roman" w:hAnsi="Times New Roman" w:cs="Times New Roman"/>
          <w:color w:val="auto"/>
        </w:rPr>
        <w:t>Stage Two</w:t>
      </w:r>
    </w:p>
    <w:p w14:paraId="70055647">
      <w:pPr>
        <w:widowControl w:val="0"/>
        <w:jc w:val="both"/>
        <w:rPr>
          <w:rFonts w:ascii="Times New Roman" w:hAnsi="Times New Roman" w:cs="Times New Roman"/>
          <w:iCs/>
          <w:color w:val="auto"/>
        </w:rPr>
      </w:pPr>
    </w:p>
    <w:tbl>
      <w:tblPr>
        <w:tblStyle w:val="53"/>
        <w:tblW w:w="907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77"/>
        <w:gridCol w:w="2016"/>
        <w:gridCol w:w="961"/>
        <w:gridCol w:w="1984"/>
        <w:gridCol w:w="1135"/>
      </w:tblGrid>
      <w:tr w14:paraId="634394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977" w:type="dxa"/>
            <w:vMerge w:val="restart"/>
            <w:tcBorders>
              <w:top w:val="single" w:color="auto" w:sz="12" w:space="0"/>
              <w:bottom w:val="nil"/>
            </w:tcBorders>
            <w:vAlign w:val="center"/>
          </w:tcPr>
          <w:p w14:paraId="75933E4D">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Variables</w:t>
            </w:r>
          </w:p>
        </w:tc>
        <w:tc>
          <w:tcPr>
            <w:tcW w:w="2977" w:type="dxa"/>
            <w:gridSpan w:val="2"/>
            <w:tcBorders>
              <w:top w:val="single" w:color="auto" w:sz="12" w:space="0"/>
              <w:bottom w:val="single" w:color="auto" w:sz="4" w:space="0"/>
            </w:tcBorders>
          </w:tcPr>
          <w:p w14:paraId="01B4FDFB">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Univariate</w:t>
            </w:r>
          </w:p>
        </w:tc>
        <w:tc>
          <w:tcPr>
            <w:tcW w:w="3119" w:type="dxa"/>
            <w:gridSpan w:val="2"/>
            <w:tcBorders>
              <w:top w:val="single" w:color="auto" w:sz="12" w:space="0"/>
              <w:bottom w:val="single" w:color="auto" w:sz="4" w:space="0"/>
            </w:tcBorders>
          </w:tcPr>
          <w:p w14:paraId="6828D8E8">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 xml:space="preserve">Multivariate </w:t>
            </w:r>
            <w:r>
              <w:rPr>
                <w:rFonts w:ascii="Times New Roman" w:hAnsi="Times New Roman" w:eastAsia="宋体" w:cs="Times New Roman"/>
                <w:b/>
                <w:color w:val="auto"/>
                <w:kern w:val="2"/>
                <w:sz w:val="20"/>
                <w:szCs w:val="20"/>
                <w:vertAlign w:val="superscript"/>
                <w:lang w:eastAsia="zh-CN"/>
              </w:rPr>
              <w:t>a</w:t>
            </w:r>
          </w:p>
        </w:tc>
      </w:tr>
      <w:tr w14:paraId="4D51F3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jc w:val="center"/>
        </w:trPr>
        <w:tc>
          <w:tcPr>
            <w:tcW w:w="2977" w:type="dxa"/>
            <w:vMerge w:val="continue"/>
            <w:tcBorders>
              <w:top w:val="nil"/>
              <w:bottom w:val="single" w:color="auto" w:sz="4" w:space="0"/>
            </w:tcBorders>
          </w:tcPr>
          <w:p w14:paraId="5CF84168">
            <w:pPr>
              <w:widowControl w:val="0"/>
              <w:spacing w:line="360" w:lineRule="auto"/>
              <w:jc w:val="center"/>
              <w:rPr>
                <w:rFonts w:ascii="Times New Roman" w:hAnsi="Times New Roman" w:eastAsia="宋体" w:cs="Times New Roman"/>
                <w:color w:val="auto"/>
                <w:kern w:val="2"/>
                <w:sz w:val="20"/>
                <w:szCs w:val="20"/>
                <w:lang w:eastAsia="zh-CN"/>
              </w:rPr>
            </w:pPr>
          </w:p>
        </w:tc>
        <w:tc>
          <w:tcPr>
            <w:tcW w:w="2016" w:type="dxa"/>
            <w:tcBorders>
              <w:top w:val="single" w:color="auto" w:sz="4" w:space="0"/>
              <w:bottom w:val="single" w:color="auto" w:sz="4" w:space="0"/>
            </w:tcBorders>
          </w:tcPr>
          <w:p w14:paraId="4B1E082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961" w:type="dxa"/>
            <w:tcBorders>
              <w:top w:val="nil"/>
              <w:bottom w:val="single" w:color="auto" w:sz="4" w:space="0"/>
            </w:tcBorders>
          </w:tcPr>
          <w:p w14:paraId="4F9426FC">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c>
          <w:tcPr>
            <w:tcW w:w="1984" w:type="dxa"/>
            <w:tcBorders>
              <w:top w:val="single" w:color="auto" w:sz="4" w:space="0"/>
              <w:bottom w:val="single" w:color="auto" w:sz="4" w:space="0"/>
            </w:tcBorders>
          </w:tcPr>
          <w:p w14:paraId="36D7351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1135" w:type="dxa"/>
            <w:tcBorders>
              <w:top w:val="nil"/>
              <w:bottom w:val="single" w:color="auto" w:sz="4" w:space="0"/>
            </w:tcBorders>
          </w:tcPr>
          <w:p w14:paraId="0AE46F3C">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r>
      <w:tr w14:paraId="29604C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top w:val="single" w:color="auto" w:sz="4" w:space="0"/>
            </w:tcBorders>
          </w:tcPr>
          <w:p w14:paraId="59A7FE3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Age at death</w:t>
            </w:r>
          </w:p>
        </w:tc>
        <w:tc>
          <w:tcPr>
            <w:tcW w:w="2016" w:type="dxa"/>
            <w:tcBorders>
              <w:top w:val="single" w:color="auto" w:sz="4" w:space="0"/>
            </w:tcBorders>
          </w:tcPr>
          <w:p w14:paraId="77F04D8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w:t>
            </w:r>
            <w:r>
              <w:rPr>
                <w:rFonts w:hint="eastAsia" w:ascii="Times New Roman" w:hAnsi="Times New Roman" w:eastAsia="宋体" w:cs="Times New Roman"/>
                <w:color w:val="auto"/>
                <w:kern w:val="2"/>
                <w:sz w:val="20"/>
                <w:szCs w:val="20"/>
                <w:lang w:val="en-US" w:eastAsia="zh-CN"/>
              </w:rPr>
              <w:t>15</w:t>
            </w:r>
            <w:r>
              <w:rPr>
                <w:rFonts w:ascii="Times New Roman" w:hAnsi="Times New Roman" w:eastAsia="宋体" w:cs="Times New Roman"/>
                <w:color w:val="auto"/>
                <w:kern w:val="2"/>
                <w:sz w:val="20"/>
                <w:szCs w:val="20"/>
                <w:lang w:eastAsia="zh-CN"/>
              </w:rPr>
              <w:t xml:space="preserve"> (</w:t>
            </w:r>
            <w:r>
              <w:rPr>
                <w:rFonts w:hint="eastAsia" w:ascii="Times New Roman" w:hAnsi="Times New Roman" w:eastAsia="宋体" w:cs="Times New Roman"/>
                <w:color w:val="auto"/>
                <w:kern w:val="2"/>
                <w:sz w:val="20"/>
                <w:szCs w:val="20"/>
                <w:lang w:val="en-US" w:eastAsia="zh-CN"/>
              </w:rPr>
              <w:t>0.999</w:t>
            </w:r>
            <w:r>
              <w:rPr>
                <w:rFonts w:ascii="Times New Roman" w:hAnsi="Times New Roman" w:eastAsia="宋体" w:cs="Times New Roman"/>
                <w:color w:val="auto"/>
                <w:kern w:val="2"/>
                <w:sz w:val="20"/>
                <w:szCs w:val="20"/>
                <w:lang w:eastAsia="zh-CN"/>
              </w:rPr>
              <w:t>,1.0</w:t>
            </w:r>
            <w:r>
              <w:rPr>
                <w:rFonts w:hint="eastAsia" w:ascii="Times New Roman" w:hAnsi="Times New Roman" w:eastAsia="宋体" w:cs="Times New Roman"/>
                <w:color w:val="auto"/>
                <w:kern w:val="2"/>
                <w:sz w:val="20"/>
                <w:szCs w:val="20"/>
                <w:lang w:val="en-US" w:eastAsia="zh-CN"/>
              </w:rPr>
              <w:t>31</w:t>
            </w:r>
            <w:r>
              <w:rPr>
                <w:rFonts w:ascii="Times New Roman" w:hAnsi="Times New Roman" w:eastAsia="宋体" w:cs="Times New Roman"/>
                <w:color w:val="auto"/>
                <w:kern w:val="2"/>
                <w:sz w:val="20"/>
                <w:szCs w:val="20"/>
                <w:lang w:eastAsia="zh-CN"/>
              </w:rPr>
              <w:t>)</w:t>
            </w:r>
          </w:p>
        </w:tc>
        <w:tc>
          <w:tcPr>
            <w:tcW w:w="961" w:type="dxa"/>
            <w:tcBorders>
              <w:top w:val="single" w:color="auto" w:sz="4" w:space="0"/>
            </w:tcBorders>
          </w:tcPr>
          <w:p w14:paraId="31FBEDD8">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lang w:val="en-US" w:eastAsia="zh-CN"/>
              </w:rPr>
              <w:t>0.062</w:t>
            </w:r>
          </w:p>
        </w:tc>
        <w:tc>
          <w:tcPr>
            <w:tcW w:w="1984" w:type="dxa"/>
            <w:tcBorders>
              <w:top w:val="single" w:color="auto" w:sz="4" w:space="0"/>
            </w:tcBorders>
          </w:tcPr>
          <w:p w14:paraId="74B2C970">
            <w:pPr>
              <w:widowControl w:val="0"/>
              <w:spacing w:line="360" w:lineRule="auto"/>
              <w:jc w:val="center"/>
              <w:rPr>
                <w:rFonts w:ascii="Times New Roman" w:hAnsi="Times New Roman" w:eastAsia="宋体" w:cs="Times New Roman"/>
                <w:color w:val="auto"/>
                <w:kern w:val="2"/>
                <w:sz w:val="20"/>
                <w:szCs w:val="20"/>
                <w:lang w:eastAsia="zh-CN"/>
              </w:rPr>
            </w:pPr>
            <w:r>
              <w:rPr>
                <w:rFonts w:hint="eastAsia" w:ascii="Times New Roman" w:hAnsi="Times New Roman" w:eastAsia="宋体" w:cs="Times New Roman"/>
                <w:color w:val="auto"/>
                <w:kern w:val="2"/>
                <w:sz w:val="20"/>
                <w:szCs w:val="20"/>
                <w:lang w:val="en-US" w:eastAsia="zh-CN"/>
              </w:rPr>
              <w:t>0.981</w:t>
            </w:r>
            <w:r>
              <w:rPr>
                <w:rFonts w:ascii="Times New Roman" w:hAnsi="Times New Roman" w:eastAsia="宋体" w:cs="Times New Roman"/>
                <w:color w:val="auto"/>
                <w:kern w:val="2"/>
                <w:sz w:val="20"/>
                <w:szCs w:val="20"/>
                <w:lang w:eastAsia="zh-CN"/>
              </w:rPr>
              <w:t xml:space="preserve"> (</w:t>
            </w:r>
            <w:r>
              <w:rPr>
                <w:rFonts w:hint="eastAsia" w:ascii="Times New Roman" w:hAnsi="Times New Roman" w:eastAsia="宋体" w:cs="Times New Roman"/>
                <w:color w:val="auto"/>
                <w:kern w:val="2"/>
                <w:sz w:val="20"/>
                <w:szCs w:val="20"/>
                <w:lang w:val="en-US" w:eastAsia="zh-CN"/>
              </w:rPr>
              <w:t>0.958</w:t>
            </w:r>
            <w:r>
              <w:rPr>
                <w:rFonts w:ascii="Times New Roman" w:hAnsi="Times New Roman" w:eastAsia="宋体" w:cs="Times New Roman"/>
                <w:color w:val="auto"/>
                <w:kern w:val="2"/>
                <w:sz w:val="20"/>
                <w:szCs w:val="20"/>
                <w:lang w:eastAsia="zh-CN"/>
              </w:rPr>
              <w:t>,1.0</w:t>
            </w:r>
            <w:r>
              <w:rPr>
                <w:rFonts w:hint="eastAsia" w:ascii="Times New Roman" w:hAnsi="Times New Roman" w:eastAsia="宋体" w:cs="Times New Roman"/>
                <w:color w:val="auto"/>
                <w:kern w:val="2"/>
                <w:sz w:val="20"/>
                <w:szCs w:val="20"/>
                <w:lang w:val="en-US" w:eastAsia="zh-CN"/>
              </w:rPr>
              <w:t>04</w:t>
            </w:r>
            <w:r>
              <w:rPr>
                <w:rFonts w:ascii="Times New Roman" w:hAnsi="Times New Roman" w:eastAsia="宋体" w:cs="Times New Roman"/>
                <w:color w:val="auto"/>
                <w:kern w:val="2"/>
                <w:sz w:val="20"/>
                <w:szCs w:val="20"/>
                <w:lang w:eastAsia="zh-CN"/>
              </w:rPr>
              <w:t>)</w:t>
            </w:r>
          </w:p>
        </w:tc>
        <w:tc>
          <w:tcPr>
            <w:tcW w:w="1135" w:type="dxa"/>
            <w:tcBorders>
              <w:top w:val="single" w:color="auto" w:sz="4" w:space="0"/>
            </w:tcBorders>
          </w:tcPr>
          <w:p w14:paraId="03A69E5D">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lang w:val="en-US" w:eastAsia="zh-CN"/>
              </w:rPr>
              <w:t>0.106</w:t>
            </w:r>
          </w:p>
        </w:tc>
      </w:tr>
      <w:tr w14:paraId="7D6F26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339B1E1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Sex</w:t>
            </w:r>
          </w:p>
        </w:tc>
        <w:tc>
          <w:tcPr>
            <w:tcW w:w="2016" w:type="dxa"/>
          </w:tcPr>
          <w:p w14:paraId="4F1BEA1B">
            <w:pPr>
              <w:widowControl w:val="0"/>
              <w:spacing w:line="360" w:lineRule="auto"/>
              <w:jc w:val="center"/>
              <w:rPr>
                <w:rFonts w:ascii="Times New Roman" w:hAnsi="Times New Roman" w:eastAsia="宋体" w:cs="Times New Roman"/>
                <w:color w:val="auto"/>
                <w:kern w:val="2"/>
                <w:sz w:val="20"/>
                <w:szCs w:val="20"/>
                <w:lang w:eastAsia="zh-CN"/>
              </w:rPr>
            </w:pPr>
            <w:r>
              <w:rPr>
                <w:rFonts w:hint="eastAsia" w:ascii="Times New Roman" w:hAnsi="Times New Roman" w:eastAsia="宋体" w:cs="Times New Roman"/>
                <w:color w:val="auto"/>
                <w:kern w:val="2"/>
                <w:sz w:val="20"/>
                <w:szCs w:val="20"/>
                <w:lang w:val="en-US" w:eastAsia="zh-CN"/>
              </w:rPr>
              <w:t>1.635</w:t>
            </w:r>
            <w:r>
              <w:rPr>
                <w:rFonts w:ascii="Times New Roman" w:hAnsi="Times New Roman" w:eastAsia="宋体" w:cs="Times New Roman"/>
                <w:color w:val="auto"/>
                <w:kern w:val="2"/>
                <w:sz w:val="20"/>
                <w:szCs w:val="20"/>
                <w:lang w:eastAsia="zh-CN"/>
              </w:rPr>
              <w:t xml:space="preserve"> (</w:t>
            </w:r>
            <w:r>
              <w:rPr>
                <w:rFonts w:hint="eastAsia" w:ascii="Times New Roman" w:hAnsi="Times New Roman" w:eastAsia="宋体" w:cs="Times New Roman"/>
                <w:color w:val="auto"/>
                <w:kern w:val="2"/>
                <w:sz w:val="20"/>
                <w:szCs w:val="20"/>
                <w:lang w:val="en-US" w:eastAsia="zh-CN"/>
              </w:rPr>
              <w:t>0.947</w:t>
            </w:r>
            <w:r>
              <w:rPr>
                <w:rFonts w:ascii="Times New Roman" w:hAnsi="Times New Roman" w:eastAsia="宋体" w:cs="Times New Roman"/>
                <w:color w:val="auto"/>
                <w:kern w:val="2"/>
                <w:sz w:val="20"/>
                <w:szCs w:val="20"/>
                <w:lang w:eastAsia="zh-CN"/>
              </w:rPr>
              <w:t>,</w:t>
            </w:r>
            <w:r>
              <w:rPr>
                <w:rFonts w:hint="eastAsia" w:ascii="Times New Roman" w:hAnsi="Times New Roman" w:eastAsia="宋体" w:cs="Times New Roman"/>
                <w:color w:val="auto"/>
                <w:kern w:val="2"/>
                <w:sz w:val="20"/>
                <w:szCs w:val="20"/>
                <w:lang w:val="en-US" w:eastAsia="zh-CN"/>
              </w:rPr>
              <w:t>2.823</w:t>
            </w:r>
            <w:r>
              <w:rPr>
                <w:rFonts w:ascii="Times New Roman" w:hAnsi="Times New Roman" w:eastAsia="宋体" w:cs="Times New Roman"/>
                <w:color w:val="auto"/>
                <w:kern w:val="2"/>
                <w:sz w:val="20"/>
                <w:szCs w:val="20"/>
                <w:lang w:eastAsia="zh-CN"/>
              </w:rPr>
              <w:t>)</w:t>
            </w:r>
          </w:p>
        </w:tc>
        <w:tc>
          <w:tcPr>
            <w:tcW w:w="961" w:type="dxa"/>
          </w:tcPr>
          <w:p w14:paraId="54AA10DF">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lang w:val="en-US" w:eastAsia="zh-CN"/>
              </w:rPr>
              <w:t>0.078</w:t>
            </w:r>
          </w:p>
        </w:tc>
        <w:tc>
          <w:tcPr>
            <w:tcW w:w="1984" w:type="dxa"/>
          </w:tcPr>
          <w:p w14:paraId="4B752507">
            <w:pPr>
              <w:widowControl w:val="0"/>
              <w:spacing w:line="360" w:lineRule="auto"/>
              <w:jc w:val="center"/>
              <w:rPr>
                <w:rFonts w:ascii="Times New Roman" w:hAnsi="Times New Roman" w:eastAsia="宋体" w:cs="Times New Roman"/>
                <w:color w:val="auto"/>
                <w:kern w:val="2"/>
                <w:sz w:val="20"/>
                <w:szCs w:val="20"/>
                <w:lang w:eastAsia="zh-CN"/>
              </w:rPr>
            </w:pPr>
            <w:r>
              <w:rPr>
                <w:rFonts w:hint="eastAsia" w:ascii="Times New Roman" w:hAnsi="Times New Roman" w:eastAsia="宋体" w:cs="Times New Roman"/>
                <w:color w:val="auto"/>
                <w:kern w:val="2"/>
                <w:sz w:val="20"/>
                <w:szCs w:val="20"/>
                <w:lang w:val="en-US" w:eastAsia="zh-CN"/>
              </w:rPr>
              <w:t>0.490</w:t>
            </w:r>
            <w:r>
              <w:rPr>
                <w:rFonts w:ascii="Times New Roman" w:hAnsi="Times New Roman" w:eastAsia="宋体" w:cs="Times New Roman"/>
                <w:color w:val="auto"/>
                <w:kern w:val="2"/>
                <w:sz w:val="20"/>
                <w:szCs w:val="20"/>
                <w:lang w:eastAsia="zh-CN"/>
              </w:rPr>
              <w:t xml:space="preserve"> (</w:t>
            </w:r>
            <w:r>
              <w:rPr>
                <w:rFonts w:hint="eastAsia" w:ascii="Times New Roman" w:hAnsi="Times New Roman" w:eastAsia="宋体" w:cs="Times New Roman"/>
                <w:color w:val="auto"/>
                <w:kern w:val="2"/>
                <w:sz w:val="20"/>
                <w:szCs w:val="20"/>
                <w:lang w:val="en-US" w:eastAsia="zh-CN"/>
              </w:rPr>
              <w:t>0.239</w:t>
            </w:r>
            <w:r>
              <w:rPr>
                <w:rFonts w:ascii="Times New Roman" w:hAnsi="Times New Roman" w:eastAsia="宋体" w:cs="Times New Roman"/>
                <w:color w:val="auto"/>
                <w:kern w:val="2"/>
                <w:sz w:val="20"/>
                <w:szCs w:val="20"/>
                <w:lang w:eastAsia="zh-CN"/>
              </w:rPr>
              <w:t>,</w:t>
            </w:r>
            <w:r>
              <w:rPr>
                <w:rFonts w:hint="eastAsia" w:ascii="Times New Roman" w:hAnsi="Times New Roman" w:eastAsia="宋体" w:cs="Times New Roman"/>
                <w:color w:val="auto"/>
                <w:kern w:val="2"/>
                <w:sz w:val="20"/>
                <w:szCs w:val="20"/>
                <w:lang w:val="en-US" w:eastAsia="zh-CN"/>
              </w:rPr>
              <w:t>1.005</w:t>
            </w:r>
            <w:r>
              <w:rPr>
                <w:rFonts w:ascii="Times New Roman" w:hAnsi="Times New Roman" w:eastAsia="宋体" w:cs="Times New Roman"/>
                <w:color w:val="auto"/>
                <w:kern w:val="2"/>
                <w:sz w:val="20"/>
                <w:szCs w:val="20"/>
                <w:lang w:eastAsia="zh-CN"/>
              </w:rPr>
              <w:t>)</w:t>
            </w:r>
          </w:p>
        </w:tc>
        <w:tc>
          <w:tcPr>
            <w:tcW w:w="1135" w:type="dxa"/>
          </w:tcPr>
          <w:p w14:paraId="0CF9BF71">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lang w:val="en-US" w:eastAsia="zh-CN"/>
              </w:rPr>
              <w:t>0.052</w:t>
            </w:r>
          </w:p>
        </w:tc>
      </w:tr>
      <w:tr w14:paraId="5ECEF6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55860D8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Heart weight</w:t>
            </w:r>
          </w:p>
        </w:tc>
        <w:tc>
          <w:tcPr>
            <w:tcW w:w="2016" w:type="dxa"/>
          </w:tcPr>
          <w:p w14:paraId="4E80A6F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w:t>
            </w:r>
            <w:r>
              <w:rPr>
                <w:rFonts w:hint="eastAsia" w:ascii="Times New Roman" w:hAnsi="Times New Roman" w:eastAsia="宋体" w:cs="Times New Roman"/>
                <w:color w:val="auto"/>
                <w:kern w:val="2"/>
                <w:sz w:val="20"/>
                <w:szCs w:val="20"/>
                <w:lang w:val="en-US" w:eastAsia="zh-CN"/>
              </w:rPr>
              <w:t>17</w:t>
            </w:r>
            <w:r>
              <w:rPr>
                <w:rFonts w:ascii="Times New Roman" w:hAnsi="Times New Roman" w:eastAsia="宋体" w:cs="Times New Roman"/>
                <w:color w:val="auto"/>
                <w:kern w:val="2"/>
                <w:sz w:val="20"/>
                <w:szCs w:val="20"/>
                <w:lang w:eastAsia="zh-CN"/>
              </w:rPr>
              <w:t xml:space="preserve"> (1.01</w:t>
            </w:r>
            <w:r>
              <w:rPr>
                <w:rFonts w:hint="eastAsia" w:ascii="Times New Roman" w:hAnsi="Times New Roman" w:eastAsia="宋体" w:cs="Times New Roman"/>
                <w:color w:val="auto"/>
                <w:kern w:val="2"/>
                <w:sz w:val="20"/>
                <w:szCs w:val="20"/>
                <w:lang w:val="en-US" w:eastAsia="zh-CN"/>
              </w:rPr>
              <w:t>3</w:t>
            </w:r>
            <w:r>
              <w:rPr>
                <w:rFonts w:ascii="Times New Roman" w:hAnsi="Times New Roman" w:eastAsia="宋体" w:cs="Times New Roman"/>
                <w:color w:val="auto"/>
                <w:kern w:val="2"/>
                <w:sz w:val="20"/>
                <w:szCs w:val="20"/>
                <w:lang w:eastAsia="zh-CN"/>
              </w:rPr>
              <w:t>,1.0</w:t>
            </w:r>
            <w:r>
              <w:rPr>
                <w:rFonts w:hint="eastAsia" w:ascii="Times New Roman" w:hAnsi="Times New Roman" w:eastAsia="宋体" w:cs="Times New Roman"/>
                <w:color w:val="auto"/>
                <w:kern w:val="2"/>
                <w:sz w:val="20"/>
                <w:szCs w:val="20"/>
                <w:lang w:val="en-US" w:eastAsia="zh-CN"/>
              </w:rPr>
              <w:t>20</w:t>
            </w:r>
            <w:r>
              <w:rPr>
                <w:rFonts w:ascii="Times New Roman" w:hAnsi="Times New Roman" w:eastAsia="宋体" w:cs="Times New Roman"/>
                <w:color w:val="auto"/>
                <w:kern w:val="2"/>
                <w:sz w:val="20"/>
                <w:szCs w:val="20"/>
                <w:lang w:eastAsia="zh-CN"/>
              </w:rPr>
              <w:t>)</w:t>
            </w:r>
          </w:p>
        </w:tc>
        <w:tc>
          <w:tcPr>
            <w:tcW w:w="961" w:type="dxa"/>
          </w:tcPr>
          <w:p w14:paraId="25943D3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21AD2572">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lang w:val="en-US" w:eastAsia="zh-CN"/>
              </w:rPr>
              <w:t>1.017</w:t>
            </w:r>
            <w:r>
              <w:rPr>
                <w:rFonts w:ascii="Times New Roman" w:hAnsi="Times New Roman" w:eastAsia="宋体" w:cs="Times New Roman"/>
                <w:color w:val="auto"/>
                <w:kern w:val="2"/>
                <w:sz w:val="20"/>
                <w:szCs w:val="20"/>
                <w:lang w:eastAsia="zh-CN"/>
              </w:rPr>
              <w:t xml:space="preserve"> (1.0</w:t>
            </w:r>
            <w:r>
              <w:rPr>
                <w:rFonts w:hint="eastAsia" w:ascii="Times New Roman" w:hAnsi="Times New Roman" w:eastAsia="宋体" w:cs="Times New Roman"/>
                <w:color w:val="auto"/>
                <w:kern w:val="2"/>
                <w:sz w:val="20"/>
                <w:szCs w:val="20"/>
                <w:lang w:val="en-US" w:eastAsia="zh-CN"/>
              </w:rPr>
              <w:t>13</w:t>
            </w:r>
            <w:r>
              <w:rPr>
                <w:rFonts w:ascii="Times New Roman" w:hAnsi="Times New Roman" w:eastAsia="宋体" w:cs="Times New Roman"/>
                <w:color w:val="auto"/>
                <w:kern w:val="2"/>
                <w:sz w:val="20"/>
                <w:szCs w:val="20"/>
                <w:lang w:eastAsia="zh-CN"/>
              </w:rPr>
              <w:t>,1.0</w:t>
            </w:r>
            <w:r>
              <w:rPr>
                <w:rFonts w:hint="eastAsia" w:ascii="Times New Roman" w:hAnsi="Times New Roman" w:eastAsia="宋体" w:cs="Times New Roman"/>
                <w:color w:val="auto"/>
                <w:kern w:val="2"/>
                <w:sz w:val="20"/>
                <w:szCs w:val="20"/>
                <w:lang w:val="en-US" w:eastAsia="zh-CN"/>
              </w:rPr>
              <w:t>22)</w:t>
            </w:r>
          </w:p>
        </w:tc>
        <w:tc>
          <w:tcPr>
            <w:tcW w:w="1135" w:type="dxa"/>
          </w:tcPr>
          <w:p w14:paraId="72895BA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0CFA5C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6250397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ASFT</w:t>
            </w:r>
          </w:p>
        </w:tc>
        <w:tc>
          <w:tcPr>
            <w:tcW w:w="2016" w:type="dxa"/>
          </w:tcPr>
          <w:p w14:paraId="6ED41F7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w:t>
            </w:r>
            <w:r>
              <w:rPr>
                <w:rFonts w:hint="eastAsia" w:ascii="Times New Roman" w:hAnsi="Times New Roman" w:eastAsia="宋体" w:cs="Times New Roman"/>
                <w:color w:val="auto"/>
                <w:kern w:val="2"/>
                <w:sz w:val="20"/>
                <w:szCs w:val="20"/>
                <w:lang w:val="en-US" w:eastAsia="zh-CN"/>
              </w:rPr>
              <w:t>355</w:t>
            </w:r>
            <w:r>
              <w:rPr>
                <w:rFonts w:ascii="Times New Roman" w:hAnsi="Times New Roman" w:eastAsia="宋体" w:cs="Times New Roman"/>
                <w:color w:val="auto"/>
                <w:kern w:val="2"/>
                <w:sz w:val="20"/>
                <w:szCs w:val="20"/>
                <w:lang w:eastAsia="zh-CN"/>
              </w:rPr>
              <w:t xml:space="preserve"> (1.</w:t>
            </w:r>
            <w:r>
              <w:rPr>
                <w:rFonts w:hint="eastAsia" w:ascii="Times New Roman" w:hAnsi="Times New Roman" w:eastAsia="宋体" w:cs="Times New Roman"/>
                <w:color w:val="auto"/>
                <w:kern w:val="2"/>
                <w:sz w:val="20"/>
                <w:szCs w:val="20"/>
                <w:lang w:val="en-US" w:eastAsia="zh-CN"/>
              </w:rPr>
              <w:t>124</w:t>
            </w:r>
            <w:r>
              <w:rPr>
                <w:rFonts w:ascii="Times New Roman" w:hAnsi="Times New Roman" w:eastAsia="宋体" w:cs="Times New Roman"/>
                <w:color w:val="auto"/>
                <w:kern w:val="2"/>
                <w:sz w:val="20"/>
                <w:szCs w:val="20"/>
                <w:lang w:eastAsia="zh-CN"/>
              </w:rPr>
              <w:t>,1.</w:t>
            </w:r>
            <w:r>
              <w:rPr>
                <w:rFonts w:hint="eastAsia" w:ascii="Times New Roman" w:hAnsi="Times New Roman" w:eastAsia="宋体" w:cs="Times New Roman"/>
                <w:color w:val="auto"/>
                <w:kern w:val="2"/>
                <w:sz w:val="20"/>
                <w:szCs w:val="20"/>
                <w:lang w:val="en-US" w:eastAsia="zh-CN"/>
              </w:rPr>
              <w:t>634</w:t>
            </w:r>
            <w:r>
              <w:rPr>
                <w:rFonts w:ascii="Times New Roman" w:hAnsi="Times New Roman" w:eastAsia="宋体" w:cs="Times New Roman"/>
                <w:color w:val="auto"/>
                <w:kern w:val="2"/>
                <w:sz w:val="20"/>
                <w:szCs w:val="20"/>
                <w:lang w:eastAsia="zh-CN"/>
              </w:rPr>
              <w:t>)</w:t>
            </w:r>
          </w:p>
        </w:tc>
        <w:tc>
          <w:tcPr>
            <w:tcW w:w="961" w:type="dxa"/>
          </w:tcPr>
          <w:p w14:paraId="13A291BA">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ascii="Times New Roman" w:hAnsi="Times New Roman" w:eastAsia="宋体" w:cs="Times New Roman"/>
                <w:color w:val="auto"/>
                <w:kern w:val="2"/>
                <w:sz w:val="20"/>
                <w:szCs w:val="20"/>
                <w:lang w:eastAsia="zh-CN"/>
              </w:rPr>
              <w:t>0.0</w:t>
            </w:r>
            <w:r>
              <w:rPr>
                <w:rFonts w:hint="eastAsia" w:ascii="Times New Roman" w:hAnsi="Times New Roman" w:eastAsia="宋体" w:cs="Times New Roman"/>
                <w:color w:val="auto"/>
                <w:kern w:val="2"/>
                <w:sz w:val="20"/>
                <w:szCs w:val="20"/>
                <w:lang w:val="en-US" w:eastAsia="zh-CN"/>
              </w:rPr>
              <w:t>01</w:t>
            </w:r>
          </w:p>
        </w:tc>
        <w:tc>
          <w:tcPr>
            <w:tcW w:w="1984" w:type="dxa"/>
          </w:tcPr>
          <w:p w14:paraId="5D66A38F">
            <w:pPr>
              <w:widowControl w:val="0"/>
              <w:spacing w:line="360" w:lineRule="auto"/>
              <w:jc w:val="center"/>
              <w:rPr>
                <w:rFonts w:ascii="Times New Roman" w:hAnsi="Times New Roman" w:eastAsia="宋体" w:cs="Times New Roman"/>
                <w:color w:val="auto"/>
                <w:kern w:val="2"/>
                <w:sz w:val="20"/>
                <w:szCs w:val="20"/>
                <w:lang w:eastAsia="zh-CN"/>
              </w:rPr>
            </w:pPr>
            <w:r>
              <w:rPr>
                <w:rFonts w:hint="eastAsia" w:ascii="Times New Roman" w:hAnsi="Times New Roman" w:eastAsia="宋体" w:cs="Times New Roman"/>
                <w:color w:val="auto"/>
                <w:kern w:val="2"/>
                <w:sz w:val="20"/>
                <w:szCs w:val="20"/>
                <w:lang w:val="en-US" w:eastAsia="zh-CN"/>
              </w:rPr>
              <w:t>0.932</w:t>
            </w:r>
            <w:r>
              <w:rPr>
                <w:rFonts w:ascii="Times New Roman" w:hAnsi="Times New Roman" w:eastAsia="宋体" w:cs="Times New Roman"/>
                <w:color w:val="auto"/>
                <w:kern w:val="2"/>
                <w:sz w:val="20"/>
                <w:szCs w:val="20"/>
                <w:lang w:eastAsia="zh-CN"/>
              </w:rPr>
              <w:t xml:space="preserve"> (</w:t>
            </w:r>
            <w:r>
              <w:rPr>
                <w:rFonts w:hint="eastAsia" w:ascii="Times New Roman" w:hAnsi="Times New Roman" w:eastAsia="宋体" w:cs="Times New Roman"/>
                <w:color w:val="auto"/>
                <w:kern w:val="2"/>
                <w:sz w:val="20"/>
                <w:szCs w:val="20"/>
                <w:lang w:val="en-US" w:eastAsia="zh-CN"/>
              </w:rPr>
              <w:t>0.711</w:t>
            </w:r>
            <w:r>
              <w:rPr>
                <w:rFonts w:ascii="Times New Roman" w:hAnsi="Times New Roman" w:eastAsia="宋体" w:cs="Times New Roman"/>
                <w:color w:val="auto"/>
                <w:kern w:val="2"/>
                <w:sz w:val="20"/>
                <w:szCs w:val="20"/>
                <w:lang w:eastAsia="zh-CN"/>
              </w:rPr>
              <w:t>,1.</w:t>
            </w:r>
            <w:r>
              <w:rPr>
                <w:rFonts w:hint="eastAsia" w:ascii="Times New Roman" w:hAnsi="Times New Roman" w:eastAsia="宋体" w:cs="Times New Roman"/>
                <w:color w:val="auto"/>
                <w:kern w:val="2"/>
                <w:sz w:val="20"/>
                <w:szCs w:val="20"/>
                <w:lang w:val="en-US" w:eastAsia="zh-CN"/>
              </w:rPr>
              <w:t>220</w:t>
            </w:r>
            <w:r>
              <w:rPr>
                <w:rFonts w:ascii="Times New Roman" w:hAnsi="Times New Roman" w:eastAsia="宋体" w:cs="Times New Roman"/>
                <w:color w:val="auto"/>
                <w:kern w:val="2"/>
                <w:sz w:val="20"/>
                <w:szCs w:val="20"/>
                <w:lang w:eastAsia="zh-CN"/>
              </w:rPr>
              <w:t>)</w:t>
            </w:r>
          </w:p>
        </w:tc>
        <w:tc>
          <w:tcPr>
            <w:tcW w:w="1135" w:type="dxa"/>
          </w:tcPr>
          <w:p w14:paraId="6EC87B69">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lang w:val="en-US" w:eastAsia="zh-CN"/>
              </w:rPr>
              <w:t>0.607</w:t>
            </w:r>
          </w:p>
        </w:tc>
      </w:tr>
      <w:tr w14:paraId="4E9CF1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bottom w:val="single" w:color="auto" w:sz="12" w:space="0"/>
            </w:tcBorders>
          </w:tcPr>
          <w:p w14:paraId="6C77C121">
            <w:pPr>
              <w:widowControl w:val="0"/>
              <w:spacing w:line="360" w:lineRule="auto"/>
              <w:jc w:val="center"/>
              <w:rPr>
                <w:rFonts w:ascii="Times New Roman" w:hAnsi="Times New Roman" w:eastAsia="宋体" w:cs="Times New Roman"/>
                <w:color w:val="auto"/>
                <w:kern w:val="2"/>
                <w:sz w:val="20"/>
                <w:szCs w:val="20"/>
                <w:vertAlign w:val="superscript"/>
                <w:lang w:eastAsia="zh-CN"/>
              </w:rPr>
            </w:pPr>
            <w:r>
              <w:rPr>
                <w:rFonts w:ascii="Times New Roman" w:hAnsi="Times New Roman" w:eastAsia="宋体" w:cs="Times New Roman"/>
                <w:color w:val="auto"/>
                <w:kern w:val="2"/>
                <w:sz w:val="20"/>
                <w:szCs w:val="20"/>
                <w:lang w:eastAsia="zh-CN"/>
              </w:rPr>
              <w:t>pSBV≥7.</w:t>
            </w:r>
            <w:r>
              <w:rPr>
                <w:rFonts w:hint="eastAsia" w:ascii="Times New Roman" w:hAnsi="Times New Roman" w:eastAsia="宋体" w:cs="Times New Roman"/>
                <w:color w:val="auto"/>
                <w:kern w:val="2"/>
                <w:sz w:val="20"/>
                <w:szCs w:val="20"/>
                <w:lang w:val="en-US" w:eastAsia="zh-CN"/>
              </w:rPr>
              <w:t>5</w:t>
            </w:r>
            <w:r>
              <w:rPr>
                <w:rFonts w:ascii="Times New Roman" w:hAnsi="Times New Roman" w:eastAsia="宋体" w:cs="Times New Roman"/>
                <w:color w:val="auto"/>
                <w:kern w:val="2"/>
                <w:sz w:val="20"/>
                <w:szCs w:val="20"/>
                <w:lang w:eastAsia="zh-CN"/>
              </w:rPr>
              <w:t>cm vs pSBV&lt;7.</w:t>
            </w:r>
            <w:r>
              <w:rPr>
                <w:rFonts w:hint="eastAsia" w:ascii="Times New Roman" w:hAnsi="Times New Roman" w:eastAsia="宋体" w:cs="Times New Roman"/>
                <w:color w:val="auto"/>
                <w:kern w:val="2"/>
                <w:sz w:val="20"/>
                <w:szCs w:val="20"/>
                <w:lang w:val="en-US" w:eastAsia="zh-CN"/>
              </w:rPr>
              <w:t>5</w:t>
            </w:r>
            <w:r>
              <w:rPr>
                <w:rFonts w:ascii="Times New Roman" w:hAnsi="Times New Roman" w:eastAsia="宋体" w:cs="Times New Roman"/>
                <w:color w:val="auto"/>
                <w:kern w:val="2"/>
                <w:sz w:val="20"/>
                <w:szCs w:val="20"/>
                <w:lang w:eastAsia="zh-CN"/>
              </w:rPr>
              <w:t xml:space="preserve">cm </w:t>
            </w:r>
            <w:r>
              <w:rPr>
                <w:rFonts w:ascii="Times New Roman" w:hAnsi="Times New Roman" w:eastAsia="宋体" w:cs="Times New Roman"/>
                <w:color w:val="auto"/>
                <w:kern w:val="2"/>
                <w:sz w:val="20"/>
                <w:szCs w:val="20"/>
                <w:vertAlign w:val="superscript"/>
                <w:lang w:eastAsia="zh-CN"/>
              </w:rPr>
              <w:t>b</w:t>
            </w:r>
          </w:p>
        </w:tc>
        <w:tc>
          <w:tcPr>
            <w:tcW w:w="2016" w:type="dxa"/>
            <w:tcBorders>
              <w:bottom w:val="single" w:color="auto" w:sz="12" w:space="0"/>
            </w:tcBorders>
          </w:tcPr>
          <w:p w14:paraId="6C7EC771">
            <w:pPr>
              <w:widowControl w:val="0"/>
              <w:spacing w:line="360" w:lineRule="auto"/>
              <w:jc w:val="center"/>
              <w:rPr>
                <w:rFonts w:ascii="Times New Roman" w:hAnsi="Times New Roman" w:eastAsia="宋体" w:cs="Times New Roman"/>
                <w:color w:val="auto"/>
                <w:kern w:val="2"/>
                <w:sz w:val="20"/>
                <w:szCs w:val="20"/>
                <w:lang w:eastAsia="zh-CN"/>
              </w:rPr>
            </w:pPr>
            <w:r>
              <w:rPr>
                <w:rFonts w:hint="eastAsia" w:ascii="Times New Roman" w:hAnsi="Times New Roman" w:eastAsia="宋体" w:cs="Times New Roman"/>
                <w:color w:val="auto"/>
                <w:kern w:val="2"/>
                <w:sz w:val="20"/>
                <w:szCs w:val="20"/>
                <w:lang w:val="en-US" w:eastAsia="zh-CN"/>
              </w:rPr>
              <w:t>5.374</w:t>
            </w:r>
            <w:r>
              <w:rPr>
                <w:rFonts w:ascii="Times New Roman" w:hAnsi="Times New Roman" w:eastAsia="宋体" w:cs="Times New Roman"/>
                <w:color w:val="auto"/>
                <w:kern w:val="2"/>
                <w:sz w:val="20"/>
                <w:szCs w:val="20"/>
                <w:lang w:eastAsia="zh-CN"/>
              </w:rPr>
              <w:t xml:space="preserve"> (</w:t>
            </w:r>
            <w:r>
              <w:rPr>
                <w:rFonts w:hint="eastAsia" w:ascii="Times New Roman" w:hAnsi="Times New Roman" w:eastAsia="宋体" w:cs="Times New Roman"/>
                <w:color w:val="auto"/>
                <w:kern w:val="2"/>
                <w:sz w:val="20"/>
                <w:szCs w:val="20"/>
                <w:lang w:val="en-US" w:eastAsia="zh-CN"/>
              </w:rPr>
              <w:t>2.858</w:t>
            </w:r>
            <w:r>
              <w:rPr>
                <w:rFonts w:ascii="Times New Roman" w:hAnsi="Times New Roman" w:eastAsia="宋体" w:cs="Times New Roman"/>
                <w:color w:val="auto"/>
                <w:kern w:val="2"/>
                <w:sz w:val="20"/>
                <w:szCs w:val="20"/>
                <w:lang w:eastAsia="zh-CN"/>
              </w:rPr>
              <w:t>,</w:t>
            </w:r>
            <w:r>
              <w:rPr>
                <w:rFonts w:hint="eastAsia" w:ascii="Times New Roman" w:hAnsi="Times New Roman" w:eastAsia="宋体" w:cs="Times New Roman"/>
                <w:color w:val="auto"/>
                <w:kern w:val="2"/>
                <w:sz w:val="20"/>
                <w:szCs w:val="20"/>
                <w:lang w:val="en-US" w:eastAsia="zh-CN"/>
              </w:rPr>
              <w:t>10.107</w:t>
            </w:r>
            <w:r>
              <w:rPr>
                <w:rFonts w:ascii="Times New Roman" w:hAnsi="Times New Roman" w:eastAsia="宋体" w:cs="Times New Roman"/>
                <w:color w:val="auto"/>
                <w:kern w:val="2"/>
                <w:sz w:val="20"/>
                <w:szCs w:val="20"/>
                <w:lang w:eastAsia="zh-CN"/>
              </w:rPr>
              <w:t>)</w:t>
            </w:r>
          </w:p>
        </w:tc>
        <w:tc>
          <w:tcPr>
            <w:tcW w:w="961" w:type="dxa"/>
            <w:tcBorders>
              <w:bottom w:val="single" w:color="auto" w:sz="12" w:space="0"/>
            </w:tcBorders>
          </w:tcPr>
          <w:p w14:paraId="4531F61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Borders>
              <w:bottom w:val="single" w:color="auto" w:sz="12" w:space="0"/>
            </w:tcBorders>
          </w:tcPr>
          <w:p w14:paraId="3460F59E">
            <w:pPr>
              <w:widowControl w:val="0"/>
              <w:spacing w:line="360" w:lineRule="auto"/>
              <w:jc w:val="center"/>
              <w:rPr>
                <w:rFonts w:ascii="Times New Roman" w:hAnsi="Times New Roman" w:eastAsia="宋体" w:cs="Times New Roman"/>
                <w:color w:val="auto"/>
                <w:kern w:val="2"/>
                <w:sz w:val="20"/>
                <w:szCs w:val="20"/>
                <w:lang w:eastAsia="zh-CN"/>
              </w:rPr>
            </w:pPr>
            <w:r>
              <w:rPr>
                <w:rFonts w:hint="eastAsia" w:ascii="Times New Roman" w:hAnsi="Times New Roman" w:eastAsia="宋体" w:cs="Times New Roman"/>
                <w:color w:val="auto"/>
                <w:kern w:val="2"/>
                <w:sz w:val="20"/>
                <w:szCs w:val="20"/>
                <w:lang w:val="en-US" w:eastAsia="zh-CN"/>
              </w:rPr>
              <w:t>2.660</w:t>
            </w:r>
            <w:r>
              <w:rPr>
                <w:rFonts w:ascii="Times New Roman" w:hAnsi="Times New Roman" w:eastAsia="宋体" w:cs="Times New Roman"/>
                <w:color w:val="auto"/>
                <w:kern w:val="2"/>
                <w:sz w:val="20"/>
                <w:szCs w:val="20"/>
                <w:lang w:eastAsia="zh-CN"/>
              </w:rPr>
              <w:t xml:space="preserve"> (1.</w:t>
            </w:r>
            <w:r>
              <w:rPr>
                <w:rFonts w:hint="eastAsia" w:ascii="Times New Roman" w:hAnsi="Times New Roman" w:eastAsia="宋体" w:cs="Times New Roman"/>
                <w:color w:val="auto"/>
                <w:kern w:val="2"/>
                <w:sz w:val="20"/>
                <w:szCs w:val="20"/>
                <w:lang w:val="en-US" w:eastAsia="zh-CN"/>
              </w:rPr>
              <w:t>319</w:t>
            </w:r>
            <w:r>
              <w:rPr>
                <w:rFonts w:ascii="Times New Roman" w:hAnsi="Times New Roman" w:eastAsia="宋体" w:cs="Times New Roman"/>
                <w:color w:val="auto"/>
                <w:kern w:val="2"/>
                <w:sz w:val="20"/>
                <w:szCs w:val="20"/>
                <w:lang w:eastAsia="zh-CN"/>
              </w:rPr>
              <w:t>,</w:t>
            </w:r>
            <w:r>
              <w:rPr>
                <w:rFonts w:hint="eastAsia" w:ascii="Times New Roman" w:hAnsi="Times New Roman" w:eastAsia="宋体" w:cs="Times New Roman"/>
                <w:color w:val="auto"/>
                <w:kern w:val="2"/>
                <w:sz w:val="20"/>
                <w:szCs w:val="20"/>
                <w:lang w:val="en-US" w:eastAsia="zh-CN"/>
              </w:rPr>
              <w:t>5.361</w:t>
            </w:r>
            <w:r>
              <w:rPr>
                <w:rFonts w:ascii="Times New Roman" w:hAnsi="Times New Roman" w:eastAsia="宋体" w:cs="Times New Roman"/>
                <w:color w:val="auto"/>
                <w:kern w:val="2"/>
                <w:sz w:val="20"/>
                <w:szCs w:val="20"/>
                <w:lang w:eastAsia="zh-CN"/>
              </w:rPr>
              <w:t>)</w:t>
            </w:r>
          </w:p>
        </w:tc>
        <w:tc>
          <w:tcPr>
            <w:tcW w:w="1135" w:type="dxa"/>
            <w:tcBorders>
              <w:bottom w:val="single" w:color="auto" w:sz="12" w:space="0"/>
            </w:tcBorders>
          </w:tcPr>
          <w:p w14:paraId="6C48FFD5">
            <w:pPr>
              <w:widowControl w:val="0"/>
              <w:spacing w:line="360" w:lineRule="auto"/>
              <w:jc w:val="center"/>
              <w:rPr>
                <w:rFonts w:hint="default" w:ascii="Times New Roman" w:hAnsi="Times New Roman" w:eastAsia="宋体" w:cs="Times New Roman"/>
                <w:color w:val="auto"/>
                <w:kern w:val="2"/>
                <w:sz w:val="20"/>
                <w:szCs w:val="20"/>
                <w:lang w:val="en-US" w:eastAsia="zh-CN"/>
              </w:rPr>
            </w:pPr>
            <w:r>
              <w:rPr>
                <w:rFonts w:ascii="Times New Roman" w:hAnsi="Times New Roman" w:eastAsia="宋体" w:cs="Times New Roman"/>
                <w:color w:val="auto"/>
                <w:kern w:val="2"/>
                <w:sz w:val="20"/>
                <w:szCs w:val="20"/>
                <w:lang w:eastAsia="zh-CN"/>
              </w:rPr>
              <w:t>0.0</w:t>
            </w:r>
            <w:r>
              <w:rPr>
                <w:rFonts w:hint="eastAsia" w:ascii="Times New Roman" w:hAnsi="Times New Roman" w:eastAsia="宋体" w:cs="Times New Roman"/>
                <w:color w:val="auto"/>
                <w:kern w:val="2"/>
                <w:sz w:val="20"/>
                <w:szCs w:val="20"/>
                <w:lang w:val="en-US" w:eastAsia="zh-CN"/>
              </w:rPr>
              <w:t>06</w:t>
            </w:r>
          </w:p>
        </w:tc>
      </w:tr>
    </w:tbl>
    <w:p w14:paraId="2B60B804">
      <w:pPr>
        <w:jc w:val="both"/>
        <w:rPr>
          <w:rFonts w:hint="eastAsia" w:ascii="Times New Roman" w:hAnsi="Times New Roman" w:cs="Times New Roman" w:eastAsiaTheme="minorEastAsia"/>
          <w:b/>
          <w:color w:val="auto"/>
          <w:kern w:val="2"/>
          <w:lang w:val="en-US" w:eastAsia="zh-CN"/>
        </w:rPr>
        <w:sectPr>
          <w:pgSz w:w="12240" w:h="15840"/>
          <w:pgMar w:top="1440" w:right="1440" w:bottom="1440" w:left="1440" w:header="720" w:footer="720" w:gutter="0"/>
          <w:cols w:space="720" w:num="1"/>
          <w:docGrid w:linePitch="360" w:charSpace="0"/>
        </w:sectPr>
      </w:pPr>
      <w:r>
        <w:rPr>
          <w:rFonts w:ascii="Times New Roman" w:hAnsi="Times New Roman" w:eastAsia="宋体" w:cs="Times New Roman"/>
          <w:color w:val="auto"/>
          <w:kern w:val="2"/>
          <w:szCs w:val="22"/>
          <w:vertAlign w:val="superscript"/>
          <w:lang w:eastAsia="zh-CN"/>
        </w:rPr>
        <w:t xml:space="preserve">a </w:t>
      </w:r>
      <w:r>
        <w:rPr>
          <w:rFonts w:ascii="Times New Roman" w:hAnsi="Times New Roman" w:eastAsia="宋体" w:cs="Times New Roman"/>
          <w:color w:val="auto"/>
          <w:kern w:val="2"/>
          <w:szCs w:val="22"/>
          <w:lang w:eastAsia="zh-CN"/>
        </w:rPr>
        <w:t>The model is adjusted for age at death, sex, heart weight</w:t>
      </w:r>
      <w:r>
        <w:rPr>
          <w:rFonts w:hint="eastAsia" w:ascii="Times New Roman" w:hAnsi="Times New Roman" w:eastAsia="宋体" w:cs="Times New Roman"/>
          <w:color w:val="auto"/>
          <w:kern w:val="2"/>
          <w:szCs w:val="22"/>
          <w:lang w:eastAsia="zh-CN"/>
        </w:rPr>
        <w:t xml:space="preserve"> and </w:t>
      </w:r>
      <w:r>
        <w:rPr>
          <w:rFonts w:ascii="Times New Roman" w:hAnsi="Times New Roman" w:eastAsia="宋体" w:cs="Times New Roman"/>
          <w:color w:val="auto"/>
          <w:kern w:val="2"/>
          <w:szCs w:val="22"/>
          <w:lang w:eastAsia="zh-CN"/>
        </w:rPr>
        <w:t xml:space="preserve">ASFT. </w:t>
      </w:r>
      <w:r>
        <w:rPr>
          <w:rFonts w:ascii="Times New Roman" w:hAnsi="Times New Roman" w:eastAsia="宋体" w:cs="Times New Roman"/>
          <w:color w:val="auto"/>
          <w:kern w:val="2"/>
          <w:szCs w:val="22"/>
          <w:vertAlign w:val="superscript"/>
          <w:lang w:eastAsia="zh-CN"/>
        </w:rPr>
        <w:t>b</w:t>
      </w:r>
      <w:r>
        <w:rPr>
          <w:rFonts w:ascii="Times New Roman" w:hAnsi="Times New Roman" w:eastAsia="宋体" w:cs="Times New Roman"/>
          <w:color w:val="auto"/>
          <w:kern w:val="2"/>
          <w:szCs w:val="22"/>
          <w:lang w:eastAsia="zh-CN"/>
        </w:rPr>
        <w:t xml:space="preserve"> </w:t>
      </w:r>
      <w:r>
        <w:rPr>
          <w:rFonts w:hint="eastAsia" w:ascii="Times New Roman" w:hAnsi="Times New Roman" w:cs="Times New Roman"/>
          <w:color w:val="auto"/>
          <w:lang w:eastAsia="zh-CN"/>
        </w:rPr>
        <w:t>p</w:t>
      </w:r>
      <w:r>
        <w:rPr>
          <w:rFonts w:ascii="Times New Roman" w:hAnsi="Times New Roman" w:cs="Times New Roman"/>
          <w:color w:val="auto"/>
        </w:rPr>
        <w:t xml:space="preserve">SBV was converted to a </w:t>
      </w:r>
      <w:r>
        <w:rPr>
          <w:rFonts w:hint="eastAsia" w:ascii="Times New Roman" w:hAnsi="Times New Roman" w:cs="Times New Roman"/>
          <w:color w:val="auto"/>
        </w:rPr>
        <w:t>dichotomous variable</w:t>
      </w:r>
      <w:r>
        <w:rPr>
          <w:rFonts w:ascii="Times New Roman" w:hAnsi="Times New Roman" w:cs="Times New Roman"/>
          <w:color w:val="auto"/>
        </w:rPr>
        <w:t xml:space="preserve"> at the cut-off of median (7.</w:t>
      </w:r>
      <w:r>
        <w:rPr>
          <w:rFonts w:hint="eastAsia" w:ascii="Times New Roman" w:hAnsi="Times New Roman" w:cs="Times New Roman"/>
          <w:color w:val="auto"/>
          <w:lang w:val="en-US" w:eastAsia="zh-CN"/>
        </w:rPr>
        <w:t>5</w:t>
      </w:r>
      <w:r>
        <w:rPr>
          <w:rFonts w:ascii="Times New Roman" w:hAnsi="Times New Roman" w:cs="Times New Roman"/>
          <w:color w:val="auto"/>
        </w:rPr>
        <w:t>cm) in 1</w:t>
      </w:r>
      <w:r>
        <w:rPr>
          <w:rFonts w:hint="eastAsia" w:ascii="Times New Roman" w:hAnsi="Times New Roman" w:cs="Times New Roman"/>
          <w:color w:val="auto"/>
          <w:lang w:val="en-US" w:eastAsia="zh-CN"/>
        </w:rPr>
        <w:t>000</w:t>
      </w:r>
      <w:r>
        <w:rPr>
          <w:rFonts w:ascii="Times New Roman" w:hAnsi="Times New Roman" w:cs="Times New Roman"/>
          <w:color w:val="auto"/>
        </w:rPr>
        <w:t xml:space="preserve"> cases. </w:t>
      </w:r>
      <w:r>
        <w:rPr>
          <w:rFonts w:ascii="Times New Roman" w:hAnsi="Times New Roman" w:eastAsia="宋体" w:cs="Times New Roman"/>
          <w:color w:val="auto"/>
          <w:kern w:val="2"/>
          <w:lang w:eastAsia="zh-CN"/>
        </w:rPr>
        <w:t>ASFT= abdominal subcutaneous fat thickness; C</w:t>
      </w:r>
      <w:r>
        <w:rPr>
          <w:rFonts w:hint="eastAsia" w:ascii="Times New Roman" w:hAnsi="Times New Roman" w:eastAsia="宋体" w:cs="Times New Roman"/>
          <w:color w:val="auto"/>
          <w:kern w:val="2"/>
          <w:lang w:val="en-US" w:eastAsia="zh-CN"/>
        </w:rPr>
        <w:t>M</w:t>
      </w:r>
      <w:r>
        <w:rPr>
          <w:rFonts w:ascii="Times New Roman" w:hAnsi="Times New Roman" w:eastAsia="宋体" w:cs="Times New Roman"/>
          <w:color w:val="auto"/>
          <w:kern w:val="2"/>
          <w:lang w:eastAsia="zh-CN"/>
        </w:rPr>
        <w:t>=</w:t>
      </w:r>
      <w:r>
        <w:rPr>
          <w:rFonts w:hint="eastAsia" w:ascii="Times New Roman" w:hAnsi="Times New Roman" w:eastAsia="宋体" w:cs="Times New Roman"/>
          <w:color w:val="auto"/>
          <w:kern w:val="2"/>
          <w:lang w:eastAsia="zh-CN"/>
        </w:rPr>
        <w:t>cardiomyopathies</w:t>
      </w:r>
      <w:r>
        <w:rPr>
          <w:rFonts w:ascii="Times New Roman" w:hAnsi="Times New Roman" w:eastAsia="宋体" w:cs="Times New Roman"/>
          <w:color w:val="auto"/>
          <w:kern w:val="2"/>
          <w:lang w:eastAsia="zh-CN"/>
        </w:rPr>
        <w:t xml:space="preserve">; </w:t>
      </w:r>
      <w:r>
        <w:rPr>
          <w:rFonts w:ascii="Times New Roman" w:hAnsi="Times New Roman" w:cs="Times New Roman"/>
          <w:color w:val="auto"/>
        </w:rPr>
        <w:t>pSBV=perimeter of sub-valve</w:t>
      </w:r>
      <w:r>
        <w:rPr>
          <w:rFonts w:hint="eastAsia" w:ascii="Times New Roman" w:hAnsi="Times New Roman" w:cs="Times New Roman"/>
          <w:color w:val="auto"/>
          <w:lang w:val="en-US" w:eastAsia="zh-CN"/>
        </w:rPr>
        <w:t>.</w:t>
      </w:r>
    </w:p>
    <w:p w14:paraId="75F3F2DF">
      <w:pPr>
        <w:jc w:val="both"/>
        <w:rPr>
          <w:rFonts w:ascii="Times New Roman" w:hAnsi="Times New Roman" w:eastAsia="宋体" w:cs="Times New Roman"/>
          <w:b/>
          <w:color w:val="auto"/>
          <w:kern w:val="2"/>
          <w:lang w:eastAsia="zh-CN"/>
        </w:rPr>
      </w:pPr>
      <w:r>
        <w:rPr>
          <w:rFonts w:ascii="Times New Roman" w:hAnsi="Times New Roman" w:eastAsia="宋体" w:cs="Times New Roman"/>
          <w:b/>
          <w:color w:val="auto"/>
          <w:kern w:val="2"/>
          <w:lang w:eastAsia="zh-CN"/>
        </w:rPr>
        <w:t>Table S</w:t>
      </w:r>
      <w:r>
        <w:rPr>
          <w:rFonts w:hint="eastAsia" w:ascii="Times New Roman" w:hAnsi="Times New Roman" w:eastAsia="宋体" w:cs="Times New Roman"/>
          <w:b/>
          <w:color w:val="auto"/>
          <w:kern w:val="2"/>
          <w:lang w:val="en-US" w:eastAsia="zh-CN"/>
        </w:rPr>
        <w:t>6</w:t>
      </w:r>
      <w:r>
        <w:rPr>
          <w:rFonts w:ascii="Times New Roman" w:hAnsi="Times New Roman" w:eastAsia="宋体" w:cs="Times New Roman"/>
          <w:b/>
          <w:color w:val="auto"/>
          <w:kern w:val="2"/>
          <w:lang w:eastAsia="zh-CN"/>
        </w:rPr>
        <w:t>.</w:t>
      </w:r>
      <w:r>
        <w:rPr>
          <w:rFonts w:ascii="Times New Roman" w:hAnsi="Times New Roman" w:eastAsia="宋体" w:cs="Times New Roman"/>
          <w:color w:val="auto"/>
          <w:kern w:val="2"/>
          <w:lang w:eastAsia="zh-CN"/>
        </w:rPr>
        <w:t xml:space="preserve"> Logistic Regression Analysis of Association of SCD Mortality with pSBV in </w:t>
      </w:r>
      <w:r>
        <w:rPr>
          <w:rFonts w:ascii="Times New Roman" w:hAnsi="Times New Roman" w:cs="Times New Roman"/>
          <w:color w:val="auto"/>
        </w:rPr>
        <w:t>Stage Two</w:t>
      </w:r>
    </w:p>
    <w:p w14:paraId="40418E9D">
      <w:pPr>
        <w:widowControl w:val="0"/>
        <w:jc w:val="both"/>
        <w:rPr>
          <w:rFonts w:ascii="Times New Roman" w:hAnsi="Times New Roman" w:eastAsia="宋体" w:cs="Times New Roman"/>
          <w:color w:val="auto"/>
          <w:kern w:val="2"/>
          <w:lang w:eastAsia="zh-CN"/>
        </w:rPr>
      </w:pPr>
    </w:p>
    <w:tbl>
      <w:tblPr>
        <w:tblStyle w:val="53"/>
        <w:tblW w:w="907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77"/>
        <w:gridCol w:w="2016"/>
        <w:gridCol w:w="961"/>
        <w:gridCol w:w="1984"/>
        <w:gridCol w:w="1135"/>
      </w:tblGrid>
      <w:tr w14:paraId="53E13D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977" w:type="dxa"/>
            <w:vMerge w:val="restart"/>
            <w:tcBorders>
              <w:top w:val="single" w:color="auto" w:sz="12" w:space="0"/>
              <w:bottom w:val="nil"/>
            </w:tcBorders>
            <w:vAlign w:val="center"/>
          </w:tcPr>
          <w:p w14:paraId="7C3F9750">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Variables</w:t>
            </w:r>
          </w:p>
        </w:tc>
        <w:tc>
          <w:tcPr>
            <w:tcW w:w="2977" w:type="dxa"/>
            <w:gridSpan w:val="2"/>
            <w:tcBorders>
              <w:top w:val="single" w:color="auto" w:sz="12" w:space="0"/>
              <w:bottom w:val="single" w:color="auto" w:sz="4" w:space="0"/>
            </w:tcBorders>
          </w:tcPr>
          <w:p w14:paraId="060398BD">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Univariate</w:t>
            </w:r>
          </w:p>
        </w:tc>
        <w:tc>
          <w:tcPr>
            <w:tcW w:w="3119" w:type="dxa"/>
            <w:gridSpan w:val="2"/>
            <w:tcBorders>
              <w:top w:val="single" w:color="auto" w:sz="12" w:space="0"/>
              <w:bottom w:val="single" w:color="auto" w:sz="4" w:space="0"/>
            </w:tcBorders>
          </w:tcPr>
          <w:p w14:paraId="45EBA969">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 xml:space="preserve">Multivariate </w:t>
            </w:r>
            <w:r>
              <w:rPr>
                <w:rFonts w:ascii="Times New Roman" w:hAnsi="Times New Roman" w:eastAsia="宋体" w:cs="Times New Roman"/>
                <w:b/>
                <w:color w:val="auto"/>
                <w:kern w:val="2"/>
                <w:sz w:val="20"/>
                <w:szCs w:val="20"/>
                <w:vertAlign w:val="superscript"/>
                <w:lang w:eastAsia="zh-CN"/>
              </w:rPr>
              <w:t>a</w:t>
            </w:r>
          </w:p>
        </w:tc>
      </w:tr>
      <w:tr w14:paraId="74DBF4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jc w:val="center"/>
        </w:trPr>
        <w:tc>
          <w:tcPr>
            <w:tcW w:w="2977" w:type="dxa"/>
            <w:vMerge w:val="continue"/>
            <w:tcBorders>
              <w:top w:val="nil"/>
              <w:bottom w:val="single" w:color="auto" w:sz="4" w:space="0"/>
            </w:tcBorders>
          </w:tcPr>
          <w:p w14:paraId="39DB34B5">
            <w:pPr>
              <w:widowControl w:val="0"/>
              <w:spacing w:line="360" w:lineRule="auto"/>
              <w:jc w:val="center"/>
              <w:rPr>
                <w:rFonts w:ascii="Times New Roman" w:hAnsi="Times New Roman" w:eastAsia="宋体" w:cs="Times New Roman"/>
                <w:color w:val="auto"/>
                <w:kern w:val="2"/>
                <w:sz w:val="20"/>
                <w:szCs w:val="20"/>
                <w:lang w:eastAsia="zh-CN"/>
              </w:rPr>
            </w:pPr>
          </w:p>
        </w:tc>
        <w:tc>
          <w:tcPr>
            <w:tcW w:w="2016" w:type="dxa"/>
            <w:tcBorders>
              <w:top w:val="single" w:color="auto" w:sz="4" w:space="0"/>
              <w:bottom w:val="single" w:color="auto" w:sz="4" w:space="0"/>
            </w:tcBorders>
          </w:tcPr>
          <w:p w14:paraId="2E0AFEE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961" w:type="dxa"/>
            <w:tcBorders>
              <w:top w:val="nil"/>
              <w:bottom w:val="single" w:color="auto" w:sz="4" w:space="0"/>
            </w:tcBorders>
          </w:tcPr>
          <w:p w14:paraId="7AB60453">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c>
          <w:tcPr>
            <w:tcW w:w="1984" w:type="dxa"/>
            <w:tcBorders>
              <w:top w:val="single" w:color="auto" w:sz="4" w:space="0"/>
              <w:bottom w:val="single" w:color="auto" w:sz="4" w:space="0"/>
            </w:tcBorders>
          </w:tcPr>
          <w:p w14:paraId="6E05739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1135" w:type="dxa"/>
            <w:tcBorders>
              <w:top w:val="nil"/>
              <w:bottom w:val="single" w:color="auto" w:sz="4" w:space="0"/>
            </w:tcBorders>
          </w:tcPr>
          <w:p w14:paraId="6D18B119">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r>
      <w:tr w14:paraId="1543B0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top w:val="single" w:color="auto" w:sz="4" w:space="0"/>
            </w:tcBorders>
          </w:tcPr>
          <w:p w14:paraId="5DE85DC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Age at death</w:t>
            </w:r>
          </w:p>
        </w:tc>
        <w:tc>
          <w:tcPr>
            <w:tcW w:w="2016" w:type="dxa"/>
            <w:tcBorders>
              <w:top w:val="single" w:color="auto" w:sz="4" w:space="0"/>
            </w:tcBorders>
          </w:tcPr>
          <w:p w14:paraId="7CC4864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1.006 (0.999,1.013)</w:t>
            </w:r>
          </w:p>
        </w:tc>
        <w:tc>
          <w:tcPr>
            <w:tcW w:w="961" w:type="dxa"/>
            <w:tcBorders>
              <w:top w:val="single" w:color="auto" w:sz="4" w:space="0"/>
            </w:tcBorders>
          </w:tcPr>
          <w:p w14:paraId="207A892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0.074</w:t>
            </w:r>
          </w:p>
        </w:tc>
        <w:tc>
          <w:tcPr>
            <w:tcW w:w="1984" w:type="dxa"/>
            <w:tcBorders>
              <w:top w:val="single" w:color="auto" w:sz="4" w:space="0"/>
            </w:tcBorders>
          </w:tcPr>
          <w:p w14:paraId="4E60989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0.985 (0.977,0.993)</w:t>
            </w:r>
          </w:p>
        </w:tc>
        <w:tc>
          <w:tcPr>
            <w:tcW w:w="1135" w:type="dxa"/>
            <w:tcBorders>
              <w:top w:val="single" w:color="auto" w:sz="4" w:space="0"/>
            </w:tcBorders>
          </w:tcPr>
          <w:p w14:paraId="23313B5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1D183C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3CA2A0E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Sex</w:t>
            </w:r>
          </w:p>
        </w:tc>
        <w:tc>
          <w:tcPr>
            <w:tcW w:w="2016" w:type="dxa"/>
          </w:tcPr>
          <w:p w14:paraId="41F2E5D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2.619 (2.103,3.262)</w:t>
            </w:r>
          </w:p>
        </w:tc>
        <w:tc>
          <w:tcPr>
            <w:tcW w:w="961" w:type="dxa"/>
          </w:tcPr>
          <w:p w14:paraId="20E9537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409111A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1.432 (1.116,1.838)</w:t>
            </w:r>
          </w:p>
        </w:tc>
        <w:tc>
          <w:tcPr>
            <w:tcW w:w="1135" w:type="dxa"/>
          </w:tcPr>
          <w:p w14:paraId="302057B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0.005</w:t>
            </w:r>
          </w:p>
        </w:tc>
      </w:tr>
      <w:tr w14:paraId="5A3CFF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5730A45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Heart weight</w:t>
            </w:r>
          </w:p>
        </w:tc>
        <w:tc>
          <w:tcPr>
            <w:tcW w:w="2016" w:type="dxa"/>
          </w:tcPr>
          <w:p w14:paraId="342A973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1.005 (1.004,1.006)</w:t>
            </w:r>
          </w:p>
        </w:tc>
        <w:tc>
          <w:tcPr>
            <w:tcW w:w="961" w:type="dxa"/>
          </w:tcPr>
          <w:p w14:paraId="11CA645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013FF2F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1.003 (1.002,1.004)</w:t>
            </w:r>
          </w:p>
        </w:tc>
        <w:tc>
          <w:tcPr>
            <w:tcW w:w="1135" w:type="dxa"/>
          </w:tcPr>
          <w:p w14:paraId="69BD1F3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229A23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5DB834F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ASFT</w:t>
            </w:r>
          </w:p>
        </w:tc>
        <w:tc>
          <w:tcPr>
            <w:tcW w:w="2016" w:type="dxa"/>
          </w:tcPr>
          <w:p w14:paraId="188D6F5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1.070 (0.980,1.168)</w:t>
            </w:r>
          </w:p>
        </w:tc>
        <w:tc>
          <w:tcPr>
            <w:tcW w:w="961" w:type="dxa"/>
          </w:tcPr>
          <w:p w14:paraId="331B41F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0.132</w:t>
            </w:r>
          </w:p>
        </w:tc>
        <w:tc>
          <w:tcPr>
            <w:tcW w:w="1984" w:type="dxa"/>
          </w:tcPr>
          <w:p w14:paraId="3DD0BAF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w:t>
            </w:r>
          </w:p>
        </w:tc>
        <w:tc>
          <w:tcPr>
            <w:tcW w:w="1135" w:type="dxa"/>
          </w:tcPr>
          <w:p w14:paraId="60160F4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w:t>
            </w:r>
          </w:p>
        </w:tc>
      </w:tr>
      <w:tr w14:paraId="0EA89B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2533705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CAS</w:t>
            </w:r>
          </w:p>
        </w:tc>
        <w:tc>
          <w:tcPr>
            <w:tcW w:w="2016" w:type="dxa"/>
          </w:tcPr>
          <w:p w14:paraId="6012FE9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3.518 (2.887,4.287)</w:t>
            </w:r>
          </w:p>
        </w:tc>
        <w:tc>
          <w:tcPr>
            <w:tcW w:w="961" w:type="dxa"/>
          </w:tcPr>
          <w:p w14:paraId="50D0B06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41EA8F1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3.346 (2.649,4.226)</w:t>
            </w:r>
          </w:p>
        </w:tc>
        <w:tc>
          <w:tcPr>
            <w:tcW w:w="1135" w:type="dxa"/>
          </w:tcPr>
          <w:p w14:paraId="73532C6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r>
      <w:tr w14:paraId="59E220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Pr>
          <w:p w14:paraId="3FB5312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CM</w:t>
            </w:r>
          </w:p>
        </w:tc>
        <w:tc>
          <w:tcPr>
            <w:tcW w:w="2016" w:type="dxa"/>
          </w:tcPr>
          <w:p w14:paraId="3E02905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2.211 (1.613,3.030)</w:t>
            </w:r>
          </w:p>
        </w:tc>
        <w:tc>
          <w:tcPr>
            <w:tcW w:w="961" w:type="dxa"/>
          </w:tcPr>
          <w:p w14:paraId="13610A2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Pr>
          <w:p w14:paraId="492BD03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1.441 (0.996,2.085)</w:t>
            </w:r>
          </w:p>
        </w:tc>
        <w:tc>
          <w:tcPr>
            <w:tcW w:w="1135" w:type="dxa"/>
          </w:tcPr>
          <w:p w14:paraId="50ED0A3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0.052</w:t>
            </w:r>
          </w:p>
        </w:tc>
      </w:tr>
      <w:tr w14:paraId="1B14BF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2977" w:type="dxa"/>
            <w:tcBorders>
              <w:bottom w:val="single" w:color="auto" w:sz="12" w:space="0"/>
            </w:tcBorders>
          </w:tcPr>
          <w:p w14:paraId="5EC422E0">
            <w:pPr>
              <w:widowControl w:val="0"/>
              <w:spacing w:line="360" w:lineRule="auto"/>
              <w:jc w:val="center"/>
              <w:rPr>
                <w:rFonts w:ascii="Times New Roman" w:hAnsi="Times New Roman" w:eastAsia="宋体" w:cs="Times New Roman"/>
                <w:color w:val="auto"/>
                <w:kern w:val="2"/>
                <w:sz w:val="20"/>
                <w:szCs w:val="20"/>
                <w:vertAlign w:val="superscript"/>
                <w:lang w:eastAsia="zh-CN"/>
              </w:rPr>
            </w:pPr>
            <w:r>
              <w:rPr>
                <w:rFonts w:ascii="Times New Roman" w:hAnsi="Times New Roman" w:eastAsia="宋体" w:cs="Times New Roman"/>
                <w:color w:val="auto"/>
                <w:kern w:val="2"/>
                <w:sz w:val="20"/>
                <w:szCs w:val="20"/>
                <w:lang w:eastAsia="zh-CN"/>
              </w:rPr>
              <w:t xml:space="preserve">pSBV≥7.8cm vs pSBV&lt;7.8cm </w:t>
            </w:r>
            <w:r>
              <w:rPr>
                <w:rFonts w:ascii="Times New Roman" w:hAnsi="Times New Roman" w:eastAsia="宋体" w:cs="Times New Roman"/>
                <w:color w:val="auto"/>
                <w:kern w:val="2"/>
                <w:sz w:val="20"/>
                <w:szCs w:val="20"/>
                <w:vertAlign w:val="superscript"/>
                <w:lang w:eastAsia="zh-CN"/>
              </w:rPr>
              <w:t>b</w:t>
            </w:r>
          </w:p>
        </w:tc>
        <w:tc>
          <w:tcPr>
            <w:tcW w:w="2016" w:type="dxa"/>
            <w:tcBorders>
              <w:bottom w:val="single" w:color="auto" w:sz="12" w:space="0"/>
            </w:tcBorders>
          </w:tcPr>
          <w:p w14:paraId="7400E48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2.033 (1.677,2.463)</w:t>
            </w:r>
          </w:p>
        </w:tc>
        <w:tc>
          <w:tcPr>
            <w:tcW w:w="961" w:type="dxa"/>
            <w:tcBorders>
              <w:bottom w:val="single" w:color="auto" w:sz="12" w:space="0"/>
            </w:tcBorders>
          </w:tcPr>
          <w:p w14:paraId="319D040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984" w:type="dxa"/>
            <w:tcBorders>
              <w:bottom w:val="single" w:color="auto" w:sz="12" w:space="0"/>
            </w:tcBorders>
          </w:tcPr>
          <w:p w14:paraId="084DEC7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1.448 (1.165,1.798)</w:t>
            </w:r>
          </w:p>
        </w:tc>
        <w:tc>
          <w:tcPr>
            <w:tcW w:w="1135" w:type="dxa"/>
            <w:tcBorders>
              <w:bottom w:val="single" w:color="auto" w:sz="12" w:space="0"/>
            </w:tcBorders>
          </w:tcPr>
          <w:p w14:paraId="6594501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0.001</w:t>
            </w:r>
          </w:p>
        </w:tc>
      </w:tr>
    </w:tbl>
    <w:p w14:paraId="57CE0F66">
      <w:pPr>
        <w:widowControl w:val="0"/>
        <w:jc w:val="both"/>
        <w:rPr>
          <w:rFonts w:ascii="Times New Roman" w:hAnsi="Times New Roman" w:eastAsia="宋体" w:cs="Times New Roman"/>
          <w:color w:val="auto"/>
          <w:kern w:val="2"/>
          <w:sz w:val="28"/>
          <w:szCs w:val="30"/>
          <w:lang w:eastAsia="zh-CN"/>
        </w:rPr>
      </w:pPr>
      <w:r>
        <w:rPr>
          <w:rFonts w:ascii="Times New Roman" w:hAnsi="Times New Roman" w:eastAsia="宋体" w:cs="Times New Roman"/>
          <w:color w:val="auto"/>
          <w:kern w:val="2"/>
          <w:szCs w:val="22"/>
          <w:vertAlign w:val="superscript"/>
          <w:lang w:eastAsia="zh-CN"/>
        </w:rPr>
        <w:t xml:space="preserve">a </w:t>
      </w:r>
      <w:r>
        <w:rPr>
          <w:rFonts w:ascii="Times New Roman" w:hAnsi="Times New Roman" w:eastAsia="宋体" w:cs="Times New Roman"/>
          <w:color w:val="auto"/>
          <w:kern w:val="2"/>
          <w:szCs w:val="22"/>
          <w:lang w:eastAsia="zh-CN"/>
        </w:rPr>
        <w:t xml:space="preserve">The model is adjusted for age at death, sex, heart weight, CAS and CM. </w:t>
      </w:r>
      <w:r>
        <w:rPr>
          <w:rFonts w:ascii="Times New Roman" w:hAnsi="Times New Roman" w:cs="Times New Roman"/>
          <w:color w:val="auto"/>
          <w:vertAlign w:val="superscript"/>
        </w:rPr>
        <w:t>b</w:t>
      </w:r>
      <w:r>
        <w:rPr>
          <w:rFonts w:ascii="Times New Roman" w:hAnsi="Times New Roman" w:cs="Times New Roman"/>
          <w:color w:val="auto"/>
        </w:rPr>
        <w:t xml:space="preserve"> </w:t>
      </w:r>
      <w:r>
        <w:rPr>
          <w:rFonts w:hint="eastAsia" w:ascii="Times New Roman" w:hAnsi="Times New Roman" w:cs="Times New Roman"/>
          <w:color w:val="auto"/>
          <w:lang w:eastAsia="zh-CN"/>
        </w:rPr>
        <w:t>p</w:t>
      </w:r>
      <w:r>
        <w:rPr>
          <w:rFonts w:ascii="Times New Roman" w:hAnsi="Times New Roman" w:cs="Times New Roman"/>
          <w:color w:val="auto"/>
        </w:rPr>
        <w:t xml:space="preserve">SBV was converted to a </w:t>
      </w:r>
      <w:r>
        <w:rPr>
          <w:rFonts w:hint="eastAsia" w:ascii="Times New Roman" w:hAnsi="Times New Roman" w:cs="Times New Roman"/>
          <w:color w:val="auto"/>
        </w:rPr>
        <w:t>dichotomous variable</w:t>
      </w:r>
      <w:r>
        <w:rPr>
          <w:rFonts w:ascii="Times New Roman" w:hAnsi="Times New Roman" w:cs="Times New Roman"/>
          <w:color w:val="auto"/>
        </w:rPr>
        <w:t xml:space="preserve"> at the cut-off of median (7.8cm) in 1746 cases. </w:t>
      </w:r>
      <w:r>
        <w:rPr>
          <w:rFonts w:ascii="Times New Roman" w:hAnsi="Times New Roman" w:eastAsia="宋体" w:cs="Times New Roman"/>
          <w:color w:val="auto"/>
          <w:kern w:val="2"/>
          <w:lang w:eastAsia="zh-CN"/>
        </w:rPr>
        <w:t xml:space="preserve">ASFT=abdominal subcutaneous fat thickness; CAS=coronary atherosclerosis; CM=cardiomyopathies; </w:t>
      </w:r>
      <w:r>
        <w:rPr>
          <w:rFonts w:ascii="Times New Roman" w:hAnsi="Times New Roman" w:eastAsia="宋体" w:cs="Times New Roman"/>
          <w:color w:val="auto"/>
          <w:kern w:val="2"/>
          <w:szCs w:val="30"/>
          <w:lang w:eastAsia="zh-CN"/>
        </w:rPr>
        <w:t xml:space="preserve">pSBV=perimeter of sub-valve; </w:t>
      </w:r>
      <w:r>
        <w:rPr>
          <w:rFonts w:ascii="Times New Roman" w:hAnsi="Times New Roman" w:cs="Times New Roman"/>
          <w:color w:val="auto"/>
        </w:rPr>
        <w:t>SCD=sudden cardiac death</w:t>
      </w:r>
      <w:r>
        <w:rPr>
          <w:rFonts w:ascii="Times New Roman" w:hAnsi="Times New Roman" w:eastAsia="宋体" w:cs="Times New Roman"/>
          <w:color w:val="auto"/>
          <w:kern w:val="2"/>
          <w:lang w:eastAsia="zh-CN"/>
        </w:rPr>
        <w:t>.</w:t>
      </w:r>
    </w:p>
    <w:p w14:paraId="57273082">
      <w:pPr>
        <w:rPr>
          <w:rFonts w:ascii="Times New Roman" w:hAnsi="Times New Roman" w:eastAsia="宋体" w:cs="Times New Roman"/>
          <w:b/>
          <w:color w:val="auto"/>
          <w:kern w:val="2"/>
          <w:lang w:eastAsia="zh-CN"/>
        </w:rPr>
        <w:sectPr>
          <w:pgSz w:w="12240" w:h="15840"/>
          <w:pgMar w:top="1440" w:right="1440" w:bottom="1440" w:left="1440" w:header="720" w:footer="720" w:gutter="0"/>
          <w:cols w:space="720" w:num="1"/>
          <w:docGrid w:linePitch="360" w:charSpace="0"/>
        </w:sectPr>
      </w:pPr>
      <w:r>
        <w:rPr>
          <w:rFonts w:ascii="Times New Roman" w:hAnsi="Times New Roman" w:eastAsia="宋体" w:cs="Times New Roman"/>
          <w:b/>
          <w:color w:val="auto"/>
          <w:kern w:val="2"/>
          <w:lang w:eastAsia="zh-CN"/>
        </w:rPr>
        <w:br w:type="page"/>
      </w:r>
    </w:p>
    <w:p w14:paraId="49548FFA">
      <w:pPr>
        <w:jc w:val="both"/>
        <w:rPr>
          <w:rFonts w:ascii="Times New Roman" w:hAnsi="Times New Roman" w:eastAsia="宋体" w:cs="Times New Roman"/>
          <w:color w:val="auto"/>
          <w:kern w:val="2"/>
          <w:lang w:eastAsia="zh-CN"/>
        </w:rPr>
      </w:pPr>
      <w:r>
        <w:rPr>
          <w:rFonts w:ascii="Times New Roman" w:hAnsi="Times New Roman" w:cs="Times New Roman"/>
          <w:b/>
          <w:bCs/>
          <w:color w:val="auto"/>
        </w:rPr>
        <w:t>Table S</w:t>
      </w:r>
      <w:r>
        <w:rPr>
          <w:rFonts w:hint="eastAsia" w:ascii="Times New Roman" w:hAnsi="Times New Roman" w:cs="Times New Roman"/>
          <w:b/>
          <w:bCs/>
          <w:color w:val="auto"/>
          <w:lang w:val="en-US" w:eastAsia="zh-CN"/>
        </w:rPr>
        <w:t>7</w:t>
      </w:r>
      <w:r>
        <w:rPr>
          <w:rFonts w:ascii="Times New Roman" w:hAnsi="Times New Roman" w:cs="Times New Roman"/>
          <w:color w:val="auto"/>
        </w:rPr>
        <w:t>.</w:t>
      </w:r>
      <w:r>
        <w:rPr>
          <w:rFonts w:ascii="Times New Roman" w:hAnsi="Times New Roman" w:eastAsia="宋体" w:cs="Times New Roman"/>
          <w:color w:val="auto"/>
          <w:kern w:val="2"/>
          <w:lang w:eastAsia="zh-CN"/>
        </w:rPr>
        <w:t xml:space="preserve"> Logistic Regression Analysis of Association of SCD Mortality with tS</w:t>
      </w:r>
    </w:p>
    <w:p w14:paraId="207EDE0E">
      <w:pPr>
        <w:widowControl w:val="0"/>
        <w:jc w:val="both"/>
        <w:rPr>
          <w:rFonts w:ascii="Times New Roman" w:hAnsi="Times New Roman" w:eastAsia="宋体" w:cs="Times New Roman"/>
          <w:color w:val="auto"/>
          <w:kern w:val="2"/>
          <w:lang w:eastAsia="zh-CN"/>
        </w:rPr>
      </w:pPr>
    </w:p>
    <w:tbl>
      <w:tblPr>
        <w:tblStyle w:val="54"/>
        <w:tblW w:w="5031"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92"/>
        <w:gridCol w:w="2670"/>
        <w:gridCol w:w="2769"/>
        <w:gridCol w:w="2580"/>
        <w:gridCol w:w="2747"/>
      </w:tblGrid>
      <w:tr w14:paraId="75683B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940" w:type="pct"/>
            <w:vMerge w:val="restart"/>
            <w:tcBorders>
              <w:top w:val="single" w:color="auto" w:sz="12" w:space="0"/>
            </w:tcBorders>
            <w:vAlign w:val="center"/>
          </w:tcPr>
          <w:p w14:paraId="619F35DE">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Variables</w:t>
            </w:r>
          </w:p>
        </w:tc>
        <w:tc>
          <w:tcPr>
            <w:tcW w:w="2051" w:type="pct"/>
            <w:gridSpan w:val="2"/>
            <w:tcBorders>
              <w:top w:val="single" w:color="auto" w:sz="12" w:space="0"/>
              <w:bottom w:val="single" w:color="auto" w:sz="2" w:space="0"/>
            </w:tcBorders>
            <w:vAlign w:val="center"/>
          </w:tcPr>
          <w:p w14:paraId="1239981E">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Stage one (924 cases)</w:t>
            </w:r>
          </w:p>
        </w:tc>
        <w:tc>
          <w:tcPr>
            <w:tcW w:w="2009" w:type="pct"/>
            <w:gridSpan w:val="2"/>
            <w:tcBorders>
              <w:top w:val="single" w:color="auto" w:sz="12" w:space="0"/>
              <w:bottom w:val="single" w:color="auto" w:sz="2" w:space="0"/>
            </w:tcBorders>
            <w:vAlign w:val="center"/>
          </w:tcPr>
          <w:p w14:paraId="19F8ABE8">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Stage two (1746 cases)</w:t>
            </w:r>
          </w:p>
        </w:tc>
      </w:tr>
      <w:tr w14:paraId="03CC82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940" w:type="pct"/>
            <w:vMerge w:val="continue"/>
          </w:tcPr>
          <w:p w14:paraId="44815B41">
            <w:pPr>
              <w:widowControl w:val="0"/>
              <w:spacing w:line="360" w:lineRule="auto"/>
              <w:jc w:val="center"/>
              <w:rPr>
                <w:rFonts w:ascii="Times New Roman" w:hAnsi="Times New Roman" w:eastAsia="宋体" w:cs="Times New Roman"/>
                <w:b/>
                <w:color w:val="auto"/>
                <w:kern w:val="2"/>
                <w:sz w:val="20"/>
                <w:szCs w:val="20"/>
                <w:lang w:eastAsia="zh-CN"/>
              </w:rPr>
            </w:pPr>
          </w:p>
        </w:tc>
        <w:tc>
          <w:tcPr>
            <w:tcW w:w="1007" w:type="pct"/>
            <w:tcBorders>
              <w:top w:val="single" w:color="auto" w:sz="2" w:space="0"/>
              <w:bottom w:val="single" w:color="auto" w:sz="2" w:space="0"/>
            </w:tcBorders>
          </w:tcPr>
          <w:p w14:paraId="540C52A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Univariate OR (95%CI) /</w:t>
            </w:r>
            <w:r>
              <w:rPr>
                <w:rFonts w:ascii="Times New Roman" w:hAnsi="Times New Roman" w:eastAsia="宋体" w:cs="Times New Roman"/>
                <w:i/>
                <w:color w:val="auto"/>
                <w:kern w:val="2"/>
                <w:sz w:val="20"/>
                <w:szCs w:val="20"/>
                <w:lang w:eastAsia="zh-CN"/>
              </w:rPr>
              <w:t xml:space="preserve"> P</w:t>
            </w:r>
          </w:p>
        </w:tc>
        <w:tc>
          <w:tcPr>
            <w:tcW w:w="1044" w:type="pct"/>
            <w:tcBorders>
              <w:top w:val="single" w:color="auto" w:sz="2" w:space="0"/>
              <w:bottom w:val="single" w:color="auto" w:sz="2" w:space="0"/>
            </w:tcBorders>
          </w:tcPr>
          <w:p w14:paraId="16596EC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 xml:space="preserve">Multivariate </w:t>
            </w:r>
            <w:r>
              <w:rPr>
                <w:rFonts w:ascii="Times New Roman" w:hAnsi="Times New Roman" w:eastAsia="宋体" w:cs="Times New Roman"/>
                <w:color w:val="auto"/>
                <w:kern w:val="2"/>
                <w:sz w:val="20"/>
                <w:szCs w:val="20"/>
                <w:vertAlign w:val="superscript"/>
                <w:lang w:eastAsia="zh-CN"/>
              </w:rPr>
              <w:t>a</w:t>
            </w:r>
            <w:r>
              <w:rPr>
                <w:rFonts w:ascii="Times New Roman" w:hAnsi="Times New Roman" w:eastAsia="宋体" w:cs="Times New Roman"/>
                <w:color w:val="auto"/>
                <w:kern w:val="2"/>
                <w:sz w:val="20"/>
                <w:szCs w:val="20"/>
                <w:lang w:eastAsia="zh-CN"/>
              </w:rPr>
              <w:t xml:space="preserve"> OR (95%CI) /</w:t>
            </w:r>
            <w:r>
              <w:rPr>
                <w:rFonts w:ascii="Times New Roman" w:hAnsi="Times New Roman" w:eastAsia="宋体" w:cs="Times New Roman"/>
                <w:i/>
                <w:color w:val="auto"/>
                <w:kern w:val="2"/>
                <w:sz w:val="20"/>
                <w:szCs w:val="20"/>
                <w:lang w:eastAsia="zh-CN"/>
              </w:rPr>
              <w:t xml:space="preserve"> P</w:t>
            </w:r>
          </w:p>
        </w:tc>
        <w:tc>
          <w:tcPr>
            <w:tcW w:w="973" w:type="pct"/>
            <w:tcBorders>
              <w:top w:val="single" w:color="auto" w:sz="2" w:space="0"/>
              <w:bottom w:val="single" w:color="auto" w:sz="2" w:space="0"/>
            </w:tcBorders>
          </w:tcPr>
          <w:p w14:paraId="5DEE6F3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Univariate OR (95%CI) /</w:t>
            </w:r>
            <w:r>
              <w:rPr>
                <w:rFonts w:ascii="Times New Roman" w:hAnsi="Times New Roman" w:eastAsia="宋体" w:cs="Times New Roman"/>
                <w:i/>
                <w:color w:val="auto"/>
                <w:kern w:val="2"/>
                <w:sz w:val="20"/>
                <w:szCs w:val="20"/>
                <w:lang w:eastAsia="zh-CN"/>
              </w:rPr>
              <w:t xml:space="preserve"> P</w:t>
            </w:r>
          </w:p>
        </w:tc>
        <w:tc>
          <w:tcPr>
            <w:tcW w:w="1036" w:type="pct"/>
            <w:tcBorders>
              <w:top w:val="single" w:color="auto" w:sz="2" w:space="0"/>
              <w:bottom w:val="single" w:color="auto" w:sz="2" w:space="0"/>
            </w:tcBorders>
          </w:tcPr>
          <w:p w14:paraId="7793EE8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 xml:space="preserve">Multivariate </w:t>
            </w:r>
            <w:r>
              <w:rPr>
                <w:rFonts w:ascii="Times New Roman" w:hAnsi="Times New Roman" w:eastAsia="宋体" w:cs="Times New Roman"/>
                <w:color w:val="auto"/>
                <w:kern w:val="2"/>
                <w:sz w:val="20"/>
                <w:szCs w:val="20"/>
                <w:vertAlign w:val="superscript"/>
                <w:lang w:eastAsia="zh-CN"/>
              </w:rPr>
              <w:t>a</w:t>
            </w:r>
            <w:r>
              <w:rPr>
                <w:rFonts w:ascii="Times New Roman" w:hAnsi="Times New Roman" w:eastAsia="宋体" w:cs="Times New Roman"/>
                <w:color w:val="auto"/>
                <w:kern w:val="2"/>
                <w:sz w:val="20"/>
                <w:szCs w:val="20"/>
                <w:lang w:eastAsia="zh-CN"/>
              </w:rPr>
              <w:t xml:space="preserve"> OR (95%CI) / </w:t>
            </w:r>
            <w:r>
              <w:rPr>
                <w:rFonts w:ascii="Times New Roman" w:hAnsi="Times New Roman" w:eastAsia="宋体" w:cs="Times New Roman"/>
                <w:i/>
                <w:color w:val="auto"/>
                <w:kern w:val="2"/>
                <w:sz w:val="20"/>
                <w:szCs w:val="20"/>
                <w:lang w:eastAsia="zh-CN"/>
              </w:rPr>
              <w:t>P</w:t>
            </w:r>
          </w:p>
        </w:tc>
      </w:tr>
      <w:tr w14:paraId="27474A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Borders>
              <w:top w:val="single" w:color="auto" w:sz="4" w:space="0"/>
            </w:tcBorders>
          </w:tcPr>
          <w:p w14:paraId="235887D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Age at death</w:t>
            </w:r>
          </w:p>
        </w:tc>
        <w:tc>
          <w:tcPr>
            <w:tcW w:w="1007" w:type="pct"/>
            <w:tcBorders>
              <w:top w:val="single" w:color="auto" w:sz="2" w:space="0"/>
            </w:tcBorders>
          </w:tcPr>
          <w:p w14:paraId="4FAEC85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1.009 (1.000,1.019) / 0.041</w:t>
            </w:r>
          </w:p>
        </w:tc>
        <w:tc>
          <w:tcPr>
            <w:tcW w:w="1044" w:type="pct"/>
            <w:tcBorders>
              <w:top w:val="single" w:color="auto" w:sz="2" w:space="0"/>
            </w:tcBorders>
          </w:tcPr>
          <w:p w14:paraId="5F6BF58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0.987 (0.976,0.998) / 0.023</w:t>
            </w:r>
          </w:p>
        </w:tc>
        <w:tc>
          <w:tcPr>
            <w:tcW w:w="973" w:type="pct"/>
            <w:tcBorders>
              <w:top w:val="single" w:color="auto" w:sz="2" w:space="0"/>
            </w:tcBorders>
            <w:vAlign w:val="center"/>
          </w:tcPr>
          <w:p w14:paraId="60A1B7B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1.006 (0.999,1.013) / 0.074</w:t>
            </w:r>
          </w:p>
        </w:tc>
        <w:tc>
          <w:tcPr>
            <w:tcW w:w="1036" w:type="pct"/>
            <w:tcBorders>
              <w:top w:val="single" w:color="auto" w:sz="2" w:space="0"/>
            </w:tcBorders>
          </w:tcPr>
          <w:p w14:paraId="19E2771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0.986 (0.978,0.994) / &lt;0.001</w:t>
            </w:r>
          </w:p>
        </w:tc>
      </w:tr>
      <w:tr w14:paraId="282602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Pr>
          <w:p w14:paraId="48A67AE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Sex</w:t>
            </w:r>
          </w:p>
        </w:tc>
        <w:tc>
          <w:tcPr>
            <w:tcW w:w="1007" w:type="pct"/>
          </w:tcPr>
          <w:p w14:paraId="3B2A9DD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2.982 (2.207,4.030) / &lt;0.001</w:t>
            </w:r>
          </w:p>
        </w:tc>
        <w:tc>
          <w:tcPr>
            <w:tcW w:w="1044" w:type="pct"/>
          </w:tcPr>
          <w:p w14:paraId="756DF09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1.656 (1.182,2.321) / 0.003</w:t>
            </w:r>
          </w:p>
        </w:tc>
        <w:tc>
          <w:tcPr>
            <w:tcW w:w="973" w:type="pct"/>
            <w:vAlign w:val="center"/>
          </w:tcPr>
          <w:p w14:paraId="30DA46A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2.619 (2.103,3.262) / &lt;0.001</w:t>
            </w:r>
          </w:p>
        </w:tc>
        <w:tc>
          <w:tcPr>
            <w:tcW w:w="1036" w:type="pct"/>
          </w:tcPr>
          <w:p w14:paraId="0017A58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1.517 (1.186,1.942) / 0.001</w:t>
            </w:r>
          </w:p>
        </w:tc>
      </w:tr>
      <w:tr w14:paraId="6BAE0F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Pr>
          <w:p w14:paraId="47B2325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Heart weight</w:t>
            </w:r>
          </w:p>
        </w:tc>
        <w:tc>
          <w:tcPr>
            <w:tcW w:w="1007" w:type="pct"/>
          </w:tcPr>
          <w:p w14:paraId="37B1B4F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1.006 (1.004,1.007) / &lt;0.001</w:t>
            </w:r>
          </w:p>
        </w:tc>
        <w:tc>
          <w:tcPr>
            <w:tcW w:w="1044" w:type="pct"/>
          </w:tcPr>
          <w:p w14:paraId="0BBEBC2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1.004 (1.002,1.006) / &lt;0.001</w:t>
            </w:r>
          </w:p>
        </w:tc>
        <w:tc>
          <w:tcPr>
            <w:tcW w:w="973" w:type="pct"/>
            <w:vAlign w:val="center"/>
          </w:tcPr>
          <w:p w14:paraId="795F3ED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1.005 (1.004,1.006) / &lt;0.001</w:t>
            </w:r>
          </w:p>
        </w:tc>
        <w:tc>
          <w:tcPr>
            <w:tcW w:w="1036" w:type="pct"/>
          </w:tcPr>
          <w:p w14:paraId="353A2CC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1.003 (1.002,1.004) / &lt;0.001</w:t>
            </w:r>
          </w:p>
        </w:tc>
      </w:tr>
      <w:tr w14:paraId="04802C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Pr>
          <w:p w14:paraId="7B51A66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ASFT</w:t>
            </w:r>
          </w:p>
        </w:tc>
        <w:tc>
          <w:tcPr>
            <w:tcW w:w="1007" w:type="pct"/>
          </w:tcPr>
          <w:p w14:paraId="71AE8BB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1.062 (0.946,1.193) / 0.308</w:t>
            </w:r>
          </w:p>
        </w:tc>
        <w:tc>
          <w:tcPr>
            <w:tcW w:w="1044" w:type="pct"/>
          </w:tcPr>
          <w:p w14:paraId="272C6A2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w:t>
            </w:r>
          </w:p>
        </w:tc>
        <w:tc>
          <w:tcPr>
            <w:tcW w:w="973" w:type="pct"/>
            <w:vAlign w:val="center"/>
          </w:tcPr>
          <w:p w14:paraId="6F0BAA2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1.070 (0.980,1.168) / 0.132</w:t>
            </w:r>
          </w:p>
        </w:tc>
        <w:tc>
          <w:tcPr>
            <w:tcW w:w="1036" w:type="pct"/>
          </w:tcPr>
          <w:p w14:paraId="7A57B9A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w:t>
            </w:r>
          </w:p>
        </w:tc>
      </w:tr>
      <w:tr w14:paraId="40F906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Pr>
          <w:p w14:paraId="1EA3716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CAS</w:t>
            </w:r>
          </w:p>
        </w:tc>
        <w:tc>
          <w:tcPr>
            <w:tcW w:w="1007" w:type="pct"/>
          </w:tcPr>
          <w:p w14:paraId="039DCE5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3.423 (2.604,4.500) / &lt;0.001</w:t>
            </w:r>
          </w:p>
        </w:tc>
        <w:tc>
          <w:tcPr>
            <w:tcW w:w="1044" w:type="pct"/>
          </w:tcPr>
          <w:p w14:paraId="413C441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2.852 (2.061,3.945) / &lt;0.001</w:t>
            </w:r>
          </w:p>
        </w:tc>
        <w:tc>
          <w:tcPr>
            <w:tcW w:w="973" w:type="pct"/>
            <w:vAlign w:val="center"/>
          </w:tcPr>
          <w:p w14:paraId="76619A5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3.518 (2.887,4.287) / &lt;0.001</w:t>
            </w:r>
          </w:p>
        </w:tc>
        <w:tc>
          <w:tcPr>
            <w:tcW w:w="1036" w:type="pct"/>
          </w:tcPr>
          <w:p w14:paraId="6F1BC1F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3.305 (2.622,4.166) / &lt;0.001</w:t>
            </w:r>
          </w:p>
        </w:tc>
      </w:tr>
      <w:tr w14:paraId="7BA78A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Pr>
          <w:p w14:paraId="2064A08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CM</w:t>
            </w:r>
          </w:p>
        </w:tc>
        <w:tc>
          <w:tcPr>
            <w:tcW w:w="1007" w:type="pct"/>
          </w:tcPr>
          <w:p w14:paraId="7B056AB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1.733 (1.156,2.599) / 0.008</w:t>
            </w:r>
          </w:p>
        </w:tc>
        <w:tc>
          <w:tcPr>
            <w:tcW w:w="1044" w:type="pct"/>
          </w:tcPr>
          <w:p w14:paraId="437CE5D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0.866 (0.535,1.401) / 0.558</w:t>
            </w:r>
          </w:p>
        </w:tc>
        <w:tc>
          <w:tcPr>
            <w:tcW w:w="973" w:type="pct"/>
            <w:vAlign w:val="center"/>
          </w:tcPr>
          <w:p w14:paraId="2E28BF4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2.211 (1.613,3.030) / &lt;0.001</w:t>
            </w:r>
          </w:p>
        </w:tc>
        <w:tc>
          <w:tcPr>
            <w:tcW w:w="1036" w:type="pct"/>
          </w:tcPr>
          <w:p w14:paraId="6DA4A92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1.464 (1.012,2.118) / 0.043</w:t>
            </w:r>
          </w:p>
        </w:tc>
      </w:tr>
      <w:tr w14:paraId="12C2C6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0" w:type="pct"/>
            <w:tcBorders>
              <w:bottom w:val="single" w:color="auto" w:sz="12" w:space="0"/>
            </w:tcBorders>
            <w:vAlign w:val="center"/>
          </w:tcPr>
          <w:p w14:paraId="6664D0D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 xml:space="preserve">tS≥3.0mm vs tS&lt;3.0mm </w:t>
            </w:r>
            <w:r>
              <w:rPr>
                <w:rFonts w:ascii="Times New Roman" w:hAnsi="Times New Roman" w:eastAsia="宋体" w:cs="Times New Roman"/>
                <w:color w:val="auto"/>
                <w:kern w:val="2"/>
                <w:sz w:val="20"/>
                <w:szCs w:val="20"/>
                <w:vertAlign w:val="superscript"/>
                <w:lang w:eastAsia="zh-CN"/>
              </w:rPr>
              <w:t>b</w:t>
            </w:r>
          </w:p>
        </w:tc>
        <w:tc>
          <w:tcPr>
            <w:tcW w:w="1007" w:type="pct"/>
            <w:tcBorders>
              <w:bottom w:val="single" w:color="auto" w:sz="12" w:space="0"/>
            </w:tcBorders>
          </w:tcPr>
          <w:p w14:paraId="0443B6D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1.913 (1.453,2.519)</w:t>
            </w:r>
            <w:r>
              <w:rPr>
                <w:rFonts w:ascii="Times New Roman" w:hAnsi="Times New Roman" w:eastAsia="宋体" w:cs="Times New Roman"/>
                <w:color w:val="auto"/>
                <w:kern w:val="2"/>
                <w:sz w:val="20"/>
                <w:szCs w:val="20"/>
                <w:lang w:eastAsia="zh-CN"/>
              </w:rPr>
              <w:t xml:space="preserve"> / &lt;0.001</w:t>
            </w:r>
          </w:p>
        </w:tc>
        <w:tc>
          <w:tcPr>
            <w:tcW w:w="1044" w:type="pct"/>
            <w:tcBorders>
              <w:bottom w:val="single" w:color="auto" w:sz="12" w:space="0"/>
            </w:tcBorders>
          </w:tcPr>
          <w:p w14:paraId="7A7CE6F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1.453 (1.071,1.971) / 0.016</w:t>
            </w:r>
          </w:p>
        </w:tc>
        <w:tc>
          <w:tcPr>
            <w:tcW w:w="973" w:type="pct"/>
            <w:tcBorders>
              <w:bottom w:val="single" w:color="auto" w:sz="12" w:space="0"/>
            </w:tcBorders>
            <w:vAlign w:val="center"/>
          </w:tcPr>
          <w:p w14:paraId="5D2C5BE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1.676 (1.378,2.038)</w:t>
            </w:r>
            <w:r>
              <w:rPr>
                <w:rFonts w:ascii="Times New Roman" w:hAnsi="Times New Roman" w:eastAsia="宋体" w:cs="Times New Roman"/>
                <w:color w:val="auto"/>
                <w:kern w:val="2"/>
                <w:sz w:val="20"/>
                <w:szCs w:val="20"/>
                <w:lang w:eastAsia="zh-CN"/>
              </w:rPr>
              <w:t xml:space="preserve"> / &lt;0.001</w:t>
            </w:r>
          </w:p>
        </w:tc>
        <w:tc>
          <w:tcPr>
            <w:tcW w:w="1036" w:type="pct"/>
            <w:tcBorders>
              <w:bottom w:val="single" w:color="auto" w:sz="12" w:space="0"/>
            </w:tcBorders>
          </w:tcPr>
          <w:p w14:paraId="1C31BAF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sz w:val="20"/>
                <w:szCs w:val="20"/>
                <w:lang w:eastAsia="zh-CN"/>
              </w:rPr>
              <w:t>1.267 (1.019,1.574) / 0.033</w:t>
            </w:r>
          </w:p>
        </w:tc>
      </w:tr>
    </w:tbl>
    <w:p w14:paraId="3DF22F14">
      <w:pPr>
        <w:widowControl w:val="0"/>
        <w:jc w:val="both"/>
        <w:rPr>
          <w:rFonts w:ascii="Times New Roman" w:hAnsi="Times New Roman" w:eastAsia="宋体" w:cs="Times New Roman"/>
          <w:color w:val="auto"/>
          <w:kern w:val="2"/>
          <w:sz w:val="28"/>
          <w:szCs w:val="30"/>
          <w:lang w:eastAsia="zh-CN"/>
        </w:rPr>
      </w:pPr>
      <w:r>
        <w:rPr>
          <w:rFonts w:ascii="Times New Roman" w:hAnsi="Times New Roman" w:eastAsia="宋体" w:cs="Times New Roman"/>
          <w:color w:val="auto"/>
          <w:kern w:val="2"/>
          <w:szCs w:val="22"/>
          <w:vertAlign w:val="superscript"/>
          <w:lang w:eastAsia="zh-CN"/>
        </w:rPr>
        <w:t xml:space="preserve">a </w:t>
      </w:r>
      <w:r>
        <w:rPr>
          <w:rFonts w:ascii="Times New Roman" w:hAnsi="Times New Roman" w:eastAsia="宋体" w:cs="Times New Roman"/>
          <w:color w:val="auto"/>
          <w:kern w:val="2"/>
          <w:szCs w:val="22"/>
          <w:lang w:eastAsia="zh-CN"/>
        </w:rPr>
        <w:t xml:space="preserve">The model is adjusted for age at death, sex, heart weight, CAS and CM. </w:t>
      </w:r>
      <w:r>
        <w:rPr>
          <w:rFonts w:ascii="Times New Roman" w:hAnsi="Times New Roman" w:cs="Times New Roman"/>
          <w:color w:val="auto"/>
          <w:kern w:val="2"/>
          <w:vertAlign w:val="superscript"/>
        </w:rPr>
        <w:t>b</w:t>
      </w:r>
      <w:r>
        <w:rPr>
          <w:rFonts w:ascii="Times New Roman" w:hAnsi="Times New Roman" w:eastAsia="宋体" w:cs="Times New Roman"/>
          <w:color w:val="auto"/>
          <w:kern w:val="2"/>
          <w:lang w:eastAsia="zh-CN"/>
        </w:rPr>
        <w:t xml:space="preserve"> tS was converted to a </w:t>
      </w:r>
      <w:r>
        <w:rPr>
          <w:rFonts w:hint="eastAsia" w:ascii="Times New Roman" w:hAnsi="Times New Roman" w:eastAsia="宋体" w:cs="Times New Roman"/>
          <w:color w:val="auto"/>
          <w:kern w:val="2"/>
          <w:lang w:eastAsia="zh-CN"/>
        </w:rPr>
        <w:t>dichotomous variable</w:t>
      </w:r>
      <w:r>
        <w:rPr>
          <w:rFonts w:ascii="Times New Roman" w:hAnsi="Times New Roman" w:eastAsia="宋体" w:cs="Times New Roman"/>
          <w:color w:val="auto"/>
          <w:kern w:val="2"/>
          <w:lang w:eastAsia="zh-CN"/>
        </w:rPr>
        <w:t xml:space="preserve"> at the cut-off of upper quartile (3.0mm). ASFT=abdominal subcutaneous fat thickness; CAS=coronary atherosclerosis; CM=cardiomyopathies; </w:t>
      </w:r>
      <w:r>
        <w:rPr>
          <w:rFonts w:ascii="Times New Roman" w:hAnsi="Times New Roman" w:cs="Times New Roman"/>
          <w:color w:val="auto"/>
        </w:rPr>
        <w:t>tS=thickness of septum</w:t>
      </w:r>
      <w:r>
        <w:rPr>
          <w:rFonts w:ascii="Times New Roman" w:hAnsi="Times New Roman" w:eastAsia="宋体" w:cs="Times New Roman"/>
          <w:color w:val="auto"/>
          <w:kern w:val="2"/>
          <w:szCs w:val="30"/>
          <w:lang w:eastAsia="zh-CN"/>
        </w:rPr>
        <w:t xml:space="preserve">; </w:t>
      </w:r>
      <w:r>
        <w:rPr>
          <w:rFonts w:ascii="Times New Roman" w:hAnsi="Times New Roman" w:cs="Times New Roman"/>
          <w:color w:val="auto"/>
        </w:rPr>
        <w:t>SCD=sudden cardiac death</w:t>
      </w:r>
      <w:r>
        <w:rPr>
          <w:rFonts w:ascii="Times New Roman" w:hAnsi="Times New Roman" w:eastAsia="宋体" w:cs="Times New Roman"/>
          <w:color w:val="auto"/>
          <w:kern w:val="2"/>
          <w:lang w:eastAsia="zh-CN"/>
        </w:rPr>
        <w:t>.</w:t>
      </w:r>
    </w:p>
    <w:p w14:paraId="783CBB2C">
      <w:pPr>
        <w:rPr>
          <w:rFonts w:ascii="Times New Roman" w:hAnsi="Times New Roman" w:cs="Times New Roman"/>
          <w:b/>
          <w:bCs/>
          <w:color w:val="auto"/>
        </w:rPr>
        <w:sectPr>
          <w:pgSz w:w="15840" w:h="12240" w:orient="landscape"/>
          <w:pgMar w:top="1440" w:right="1440" w:bottom="1440" w:left="1440" w:header="720" w:footer="720" w:gutter="0"/>
          <w:cols w:space="720" w:num="1"/>
          <w:docGrid w:linePitch="360" w:charSpace="0"/>
        </w:sectPr>
      </w:pPr>
    </w:p>
    <w:p w14:paraId="44798628">
      <w:pPr>
        <w:jc w:val="both"/>
        <w:rPr>
          <w:rFonts w:ascii="Times New Roman" w:hAnsi="Times New Roman" w:cs="Times New Roman"/>
          <w:color w:val="auto"/>
        </w:rPr>
      </w:pPr>
      <w:r>
        <w:rPr>
          <w:rFonts w:ascii="Times New Roman" w:hAnsi="Times New Roman" w:cs="Times New Roman"/>
          <w:b/>
          <w:bCs/>
          <w:color w:val="auto"/>
        </w:rPr>
        <w:t>Table S</w:t>
      </w:r>
      <w:r>
        <w:rPr>
          <w:rFonts w:hint="eastAsia" w:ascii="Times New Roman" w:hAnsi="Times New Roman" w:cs="Times New Roman"/>
          <w:b/>
          <w:bCs/>
          <w:color w:val="auto"/>
          <w:lang w:val="en-US" w:eastAsia="zh-CN"/>
        </w:rPr>
        <w:t>8</w:t>
      </w:r>
      <w:r>
        <w:rPr>
          <w:rFonts w:ascii="Times New Roman" w:hAnsi="Times New Roman" w:cs="Times New Roman"/>
          <w:color w:val="auto"/>
        </w:rPr>
        <w:t>.</w:t>
      </w:r>
      <w:r>
        <w:rPr>
          <w:rFonts w:ascii="Times New Roman" w:hAnsi="Times New Roman" w:eastAsia="宋体" w:cs="Times New Roman"/>
          <w:color w:val="auto"/>
          <w:kern w:val="2"/>
          <w:sz w:val="22"/>
          <w:lang w:eastAsia="zh-CN"/>
        </w:rPr>
        <w:t xml:space="preserve"> </w:t>
      </w:r>
      <w:r>
        <w:rPr>
          <w:rFonts w:ascii="Times New Roman" w:hAnsi="Times New Roman" w:eastAsia="宋体" w:cs="Times New Roman"/>
          <w:color w:val="auto"/>
          <w:kern w:val="2"/>
          <w:lang w:eastAsia="zh-CN"/>
        </w:rPr>
        <w:t>Logistic Regression Analysis of Association of</w:t>
      </w:r>
      <w:r>
        <w:rPr>
          <w:rFonts w:ascii="Times New Roman" w:hAnsi="Times New Roman" w:cs="Times New Roman"/>
          <w:color w:val="auto"/>
        </w:rPr>
        <w:t xml:space="preserve"> SCD Mortality</w:t>
      </w:r>
      <w:r>
        <w:rPr>
          <w:rFonts w:ascii="Times New Roman" w:hAnsi="Times New Roman" w:eastAsia="宋体" w:cs="Times New Roman"/>
          <w:color w:val="auto"/>
          <w:kern w:val="2"/>
          <w:lang w:eastAsia="zh-CN"/>
        </w:rPr>
        <w:t xml:space="preserve"> with Other Characteristics in </w:t>
      </w:r>
      <w:r>
        <w:rPr>
          <w:rFonts w:ascii="Times New Roman" w:hAnsi="Times New Roman" w:cs="Times New Roman"/>
          <w:color w:val="auto"/>
        </w:rPr>
        <w:t>Stage One</w:t>
      </w:r>
    </w:p>
    <w:p w14:paraId="7294E3BF">
      <w:pPr>
        <w:widowControl w:val="0"/>
        <w:jc w:val="both"/>
        <w:rPr>
          <w:rFonts w:ascii="Times New Roman" w:hAnsi="Times New Roman" w:cs="Times New Roman"/>
          <w:color w:val="auto"/>
        </w:rPr>
      </w:pPr>
    </w:p>
    <w:tbl>
      <w:tblPr>
        <w:tblStyle w:val="53"/>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4"/>
        <w:gridCol w:w="1161"/>
        <w:gridCol w:w="2584"/>
        <w:gridCol w:w="1118"/>
        <w:gridCol w:w="2584"/>
        <w:gridCol w:w="1115"/>
      </w:tblGrid>
      <w:tr w14:paraId="2D6325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1136" w:type="pct"/>
            <w:gridSpan w:val="2"/>
            <w:vMerge w:val="restart"/>
            <w:tcBorders>
              <w:top w:val="single" w:color="auto" w:sz="12" w:space="0"/>
              <w:bottom w:val="nil"/>
            </w:tcBorders>
            <w:vAlign w:val="center"/>
          </w:tcPr>
          <w:p w14:paraId="4EB66977">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Characteristics</w:t>
            </w:r>
          </w:p>
        </w:tc>
        <w:tc>
          <w:tcPr>
            <w:tcW w:w="1933" w:type="pct"/>
            <w:gridSpan w:val="2"/>
            <w:tcBorders>
              <w:top w:val="single" w:color="auto" w:sz="12" w:space="0"/>
              <w:bottom w:val="single" w:color="auto" w:sz="4" w:space="0"/>
            </w:tcBorders>
          </w:tcPr>
          <w:p w14:paraId="26AF5064">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Univariate</w:t>
            </w:r>
          </w:p>
        </w:tc>
        <w:tc>
          <w:tcPr>
            <w:tcW w:w="1931" w:type="pct"/>
            <w:gridSpan w:val="2"/>
            <w:tcBorders>
              <w:top w:val="single" w:color="auto" w:sz="12" w:space="0"/>
              <w:bottom w:val="single" w:color="auto" w:sz="4" w:space="0"/>
            </w:tcBorders>
          </w:tcPr>
          <w:p w14:paraId="22A61BDB">
            <w:pPr>
              <w:widowControl w:val="0"/>
              <w:spacing w:line="360" w:lineRule="auto"/>
              <w:jc w:val="center"/>
              <w:rPr>
                <w:rFonts w:ascii="Times New Roman" w:hAnsi="Times New Roman" w:eastAsia="宋体" w:cs="Times New Roman"/>
                <w:b/>
                <w:color w:val="auto"/>
                <w:kern w:val="2"/>
                <w:sz w:val="20"/>
                <w:szCs w:val="20"/>
                <w:lang w:eastAsia="zh-CN"/>
              </w:rPr>
            </w:pPr>
            <w:r>
              <w:rPr>
                <w:rFonts w:ascii="Times New Roman" w:hAnsi="Times New Roman" w:eastAsia="宋体" w:cs="Times New Roman"/>
                <w:b/>
                <w:color w:val="auto"/>
                <w:kern w:val="2"/>
                <w:sz w:val="20"/>
                <w:szCs w:val="20"/>
                <w:lang w:eastAsia="zh-CN"/>
              </w:rPr>
              <w:t xml:space="preserve">Multivariate </w:t>
            </w:r>
            <w:r>
              <w:rPr>
                <w:rFonts w:ascii="Times New Roman" w:hAnsi="Times New Roman" w:eastAsia="宋体" w:cs="Times New Roman"/>
                <w:b/>
                <w:color w:val="auto"/>
                <w:kern w:val="2"/>
                <w:sz w:val="20"/>
                <w:szCs w:val="20"/>
                <w:vertAlign w:val="superscript"/>
                <w:lang w:eastAsia="zh-CN"/>
              </w:rPr>
              <w:t>a</w:t>
            </w:r>
          </w:p>
        </w:tc>
      </w:tr>
      <w:tr w14:paraId="23D6F4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jc w:val="center"/>
        </w:trPr>
        <w:tc>
          <w:tcPr>
            <w:tcW w:w="1136" w:type="pct"/>
            <w:gridSpan w:val="2"/>
            <w:vMerge w:val="continue"/>
            <w:tcBorders>
              <w:top w:val="nil"/>
              <w:bottom w:val="single" w:color="auto" w:sz="4" w:space="0"/>
            </w:tcBorders>
          </w:tcPr>
          <w:p w14:paraId="63A0A981">
            <w:pPr>
              <w:widowControl w:val="0"/>
              <w:spacing w:line="360" w:lineRule="auto"/>
              <w:jc w:val="center"/>
              <w:rPr>
                <w:rFonts w:ascii="Times New Roman" w:hAnsi="Times New Roman" w:eastAsia="宋体" w:cs="Times New Roman"/>
                <w:color w:val="auto"/>
                <w:kern w:val="2"/>
                <w:sz w:val="20"/>
                <w:szCs w:val="20"/>
                <w:lang w:eastAsia="zh-CN"/>
              </w:rPr>
            </w:pPr>
          </w:p>
        </w:tc>
        <w:tc>
          <w:tcPr>
            <w:tcW w:w="1349" w:type="pct"/>
            <w:tcBorders>
              <w:top w:val="single" w:color="auto" w:sz="4" w:space="0"/>
              <w:bottom w:val="single" w:color="auto" w:sz="4" w:space="0"/>
            </w:tcBorders>
          </w:tcPr>
          <w:p w14:paraId="0802C52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584" w:type="pct"/>
            <w:tcBorders>
              <w:top w:val="single" w:color="auto" w:sz="4" w:space="0"/>
              <w:bottom w:val="single" w:color="auto" w:sz="4" w:space="0"/>
            </w:tcBorders>
          </w:tcPr>
          <w:p w14:paraId="5EA11F10">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c>
          <w:tcPr>
            <w:tcW w:w="1349" w:type="pct"/>
            <w:tcBorders>
              <w:top w:val="single" w:color="auto" w:sz="4" w:space="0"/>
              <w:bottom w:val="single" w:color="auto" w:sz="4" w:space="0"/>
            </w:tcBorders>
          </w:tcPr>
          <w:p w14:paraId="3369EF77">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OR (95%CI)</w:t>
            </w:r>
          </w:p>
        </w:tc>
        <w:tc>
          <w:tcPr>
            <w:tcW w:w="582" w:type="pct"/>
            <w:tcBorders>
              <w:top w:val="single" w:color="auto" w:sz="4" w:space="0"/>
              <w:bottom w:val="single" w:color="auto" w:sz="4" w:space="0"/>
            </w:tcBorders>
          </w:tcPr>
          <w:p w14:paraId="7EDF6F90">
            <w:pPr>
              <w:widowControl w:val="0"/>
              <w:spacing w:line="360" w:lineRule="auto"/>
              <w:jc w:val="center"/>
              <w:rPr>
                <w:rFonts w:ascii="Times New Roman" w:hAnsi="Times New Roman" w:eastAsia="宋体" w:cs="Times New Roman"/>
                <w:i/>
                <w:color w:val="auto"/>
                <w:kern w:val="2"/>
                <w:sz w:val="20"/>
                <w:szCs w:val="20"/>
                <w:lang w:eastAsia="zh-CN"/>
              </w:rPr>
            </w:pPr>
            <w:r>
              <w:rPr>
                <w:rFonts w:ascii="Times New Roman" w:hAnsi="Times New Roman" w:eastAsia="宋体" w:cs="Times New Roman"/>
                <w:i/>
                <w:color w:val="auto"/>
                <w:kern w:val="2"/>
                <w:sz w:val="20"/>
                <w:szCs w:val="20"/>
                <w:lang w:eastAsia="zh-CN"/>
              </w:rPr>
              <w:t>P</w:t>
            </w:r>
          </w:p>
        </w:tc>
      </w:tr>
      <w:tr w14:paraId="026F7B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36" w:type="pct"/>
            <w:gridSpan w:val="2"/>
            <w:tcBorders>
              <w:top w:val="single" w:color="auto" w:sz="4" w:space="0"/>
            </w:tcBorders>
          </w:tcPr>
          <w:p w14:paraId="7654B84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pSPV</w:t>
            </w:r>
          </w:p>
        </w:tc>
        <w:tc>
          <w:tcPr>
            <w:tcW w:w="1349" w:type="pct"/>
            <w:tcBorders>
              <w:top w:val="single" w:color="auto" w:sz="4" w:space="0"/>
            </w:tcBorders>
          </w:tcPr>
          <w:p w14:paraId="42308199">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1.499 (1.250,1.797)</w:t>
            </w:r>
          </w:p>
        </w:tc>
        <w:tc>
          <w:tcPr>
            <w:tcW w:w="584" w:type="pct"/>
            <w:tcBorders>
              <w:top w:val="single" w:color="auto" w:sz="4" w:space="0"/>
            </w:tcBorders>
          </w:tcPr>
          <w:p w14:paraId="67DEA0F4">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349" w:type="pct"/>
            <w:tcBorders>
              <w:top w:val="single" w:color="auto" w:sz="4" w:space="0"/>
            </w:tcBorders>
          </w:tcPr>
          <w:p w14:paraId="19E36075">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1.090 (0.859,1.382)</w:t>
            </w:r>
          </w:p>
        </w:tc>
        <w:tc>
          <w:tcPr>
            <w:tcW w:w="582" w:type="pct"/>
            <w:tcBorders>
              <w:top w:val="single" w:color="auto" w:sz="4" w:space="0"/>
            </w:tcBorders>
          </w:tcPr>
          <w:p w14:paraId="0BE3F896">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0.478</w:t>
            </w:r>
          </w:p>
        </w:tc>
      </w:tr>
      <w:tr w14:paraId="27CB3E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36" w:type="pct"/>
            <w:gridSpan w:val="2"/>
          </w:tcPr>
          <w:p w14:paraId="7F0FA96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pMV</w:t>
            </w:r>
          </w:p>
        </w:tc>
        <w:tc>
          <w:tcPr>
            <w:tcW w:w="1349" w:type="pct"/>
          </w:tcPr>
          <w:p w14:paraId="408B037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1.684 (1.406,2.016)</w:t>
            </w:r>
          </w:p>
        </w:tc>
        <w:tc>
          <w:tcPr>
            <w:tcW w:w="584" w:type="pct"/>
          </w:tcPr>
          <w:p w14:paraId="6398939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&lt;0.001</w:t>
            </w:r>
          </w:p>
        </w:tc>
        <w:tc>
          <w:tcPr>
            <w:tcW w:w="1349" w:type="pct"/>
          </w:tcPr>
          <w:p w14:paraId="7CFD625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1.276 (1.027,1.586)</w:t>
            </w:r>
          </w:p>
        </w:tc>
        <w:tc>
          <w:tcPr>
            <w:tcW w:w="582" w:type="pct"/>
          </w:tcPr>
          <w:p w14:paraId="7222BF3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0.028</w:t>
            </w:r>
            <w:r>
              <w:rPr>
                <w:rFonts w:ascii="Times New Roman" w:hAnsi="Times New Roman" w:eastAsia="等线" w:cs="Times New Roman"/>
                <w:color w:val="auto"/>
                <w:sz w:val="22"/>
                <w:szCs w:val="20"/>
                <w:vertAlign w:val="superscript"/>
                <w:lang w:eastAsia="zh-CN"/>
              </w:rPr>
              <w:t>*</w:t>
            </w:r>
          </w:p>
        </w:tc>
      </w:tr>
      <w:tr w14:paraId="30AF9B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36" w:type="pct"/>
            <w:gridSpan w:val="2"/>
          </w:tcPr>
          <w:p w14:paraId="234AE8A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iSCPV</w:t>
            </w:r>
          </w:p>
        </w:tc>
        <w:tc>
          <w:tcPr>
            <w:tcW w:w="1349" w:type="pct"/>
          </w:tcPr>
          <w:p w14:paraId="2B9CD238">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1.684 (1.027,2.760)</w:t>
            </w:r>
          </w:p>
        </w:tc>
        <w:tc>
          <w:tcPr>
            <w:tcW w:w="584" w:type="pct"/>
          </w:tcPr>
          <w:p w14:paraId="5897341C">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0.039</w:t>
            </w:r>
          </w:p>
        </w:tc>
        <w:tc>
          <w:tcPr>
            <w:tcW w:w="1349" w:type="pct"/>
          </w:tcPr>
          <w:p w14:paraId="459301D2">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1.253 (0.720,2.181)</w:t>
            </w:r>
          </w:p>
        </w:tc>
        <w:tc>
          <w:tcPr>
            <w:tcW w:w="582" w:type="pct"/>
          </w:tcPr>
          <w:p w14:paraId="51A9073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0.425</w:t>
            </w:r>
          </w:p>
        </w:tc>
      </w:tr>
      <w:tr w14:paraId="60F8FB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530" w:type="pct"/>
            <w:vMerge w:val="restart"/>
            <w:vAlign w:val="center"/>
          </w:tcPr>
          <w:p w14:paraId="55F911B2">
            <w:pPr>
              <w:widowControl w:val="0"/>
              <w:spacing w:line="360" w:lineRule="auto"/>
              <w:jc w:val="center"/>
              <w:rPr>
                <w:rFonts w:ascii="Times New Roman" w:hAnsi="Times New Roman" w:eastAsia="宋体" w:cs="Times New Roman"/>
                <w:color w:val="auto"/>
                <w:kern w:val="2"/>
                <w:sz w:val="20"/>
                <w:szCs w:val="20"/>
                <w:vertAlign w:val="superscript"/>
                <w:lang w:eastAsia="zh-CN"/>
              </w:rPr>
            </w:pPr>
            <w:r>
              <w:rPr>
                <w:rFonts w:ascii="Times New Roman" w:hAnsi="Times New Roman" w:eastAsia="宋体" w:cs="Times New Roman"/>
                <w:color w:val="auto"/>
                <w:kern w:val="2"/>
                <w:sz w:val="20"/>
                <w:szCs w:val="20"/>
                <w:lang w:eastAsia="zh-CN"/>
              </w:rPr>
              <w:t xml:space="preserve">tF </w:t>
            </w:r>
            <w:r>
              <w:rPr>
                <w:rFonts w:ascii="Times New Roman" w:hAnsi="Times New Roman" w:eastAsia="宋体" w:cs="Times New Roman"/>
                <w:color w:val="auto"/>
                <w:kern w:val="2"/>
                <w:sz w:val="20"/>
                <w:szCs w:val="20"/>
                <w:vertAlign w:val="superscript"/>
                <w:lang w:eastAsia="zh-CN"/>
              </w:rPr>
              <w:t>b</w:t>
            </w:r>
          </w:p>
        </w:tc>
        <w:tc>
          <w:tcPr>
            <w:tcW w:w="606" w:type="pct"/>
          </w:tcPr>
          <w:p w14:paraId="52C3F94E">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tF≥3.5mm</w:t>
            </w:r>
          </w:p>
        </w:tc>
        <w:tc>
          <w:tcPr>
            <w:tcW w:w="1349" w:type="pct"/>
          </w:tcPr>
          <w:p w14:paraId="6FA8664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1.249 (0.937,1.665)</w:t>
            </w:r>
          </w:p>
        </w:tc>
        <w:tc>
          <w:tcPr>
            <w:tcW w:w="584" w:type="pct"/>
          </w:tcPr>
          <w:p w14:paraId="432AC2D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0.129</w:t>
            </w:r>
          </w:p>
        </w:tc>
        <w:tc>
          <w:tcPr>
            <w:tcW w:w="1349" w:type="pct"/>
          </w:tcPr>
          <w:p w14:paraId="73C0801B">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0.938 (0.682,1.290)</w:t>
            </w:r>
          </w:p>
        </w:tc>
        <w:tc>
          <w:tcPr>
            <w:tcW w:w="582" w:type="pct"/>
          </w:tcPr>
          <w:p w14:paraId="043770DA">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0.693</w:t>
            </w:r>
          </w:p>
        </w:tc>
      </w:tr>
      <w:tr w14:paraId="7B04BE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530" w:type="pct"/>
            <w:vMerge w:val="continue"/>
            <w:tcBorders>
              <w:bottom w:val="single" w:color="auto" w:sz="12" w:space="0"/>
            </w:tcBorders>
            <w:vAlign w:val="center"/>
          </w:tcPr>
          <w:p w14:paraId="2205DD23">
            <w:pPr>
              <w:widowControl w:val="0"/>
              <w:spacing w:line="360" w:lineRule="auto"/>
              <w:jc w:val="center"/>
              <w:rPr>
                <w:rFonts w:ascii="Times New Roman" w:hAnsi="Times New Roman" w:eastAsia="宋体" w:cs="Times New Roman"/>
                <w:color w:val="auto"/>
                <w:kern w:val="2"/>
                <w:sz w:val="20"/>
                <w:szCs w:val="20"/>
                <w:lang w:eastAsia="zh-CN"/>
              </w:rPr>
            </w:pPr>
          </w:p>
        </w:tc>
        <w:tc>
          <w:tcPr>
            <w:tcW w:w="606" w:type="pct"/>
            <w:tcBorders>
              <w:bottom w:val="single" w:color="auto" w:sz="12" w:space="0"/>
            </w:tcBorders>
          </w:tcPr>
          <w:p w14:paraId="5D09C49D">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tF&lt;2.0mm</w:t>
            </w:r>
          </w:p>
        </w:tc>
        <w:tc>
          <w:tcPr>
            <w:tcW w:w="1349" w:type="pct"/>
            <w:tcBorders>
              <w:bottom w:val="single" w:color="auto" w:sz="12" w:space="0"/>
            </w:tcBorders>
          </w:tcPr>
          <w:p w14:paraId="1A9D5A91">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0.558 (0.339,0.917)</w:t>
            </w:r>
          </w:p>
        </w:tc>
        <w:tc>
          <w:tcPr>
            <w:tcW w:w="584" w:type="pct"/>
            <w:tcBorders>
              <w:bottom w:val="single" w:color="auto" w:sz="12" w:space="0"/>
            </w:tcBorders>
          </w:tcPr>
          <w:p w14:paraId="71C341AF">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0.021</w:t>
            </w:r>
          </w:p>
        </w:tc>
        <w:tc>
          <w:tcPr>
            <w:tcW w:w="1349" w:type="pct"/>
            <w:tcBorders>
              <w:bottom w:val="single" w:color="auto" w:sz="12" w:space="0"/>
            </w:tcBorders>
          </w:tcPr>
          <w:p w14:paraId="12E8AA80">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0.673 (0.388,1.166)</w:t>
            </w:r>
          </w:p>
        </w:tc>
        <w:tc>
          <w:tcPr>
            <w:tcW w:w="582" w:type="pct"/>
            <w:tcBorders>
              <w:bottom w:val="single" w:color="auto" w:sz="12" w:space="0"/>
            </w:tcBorders>
          </w:tcPr>
          <w:p w14:paraId="09CFF653">
            <w:pPr>
              <w:widowControl w:val="0"/>
              <w:spacing w:line="360" w:lineRule="auto"/>
              <w:jc w:val="center"/>
              <w:rPr>
                <w:rFonts w:ascii="Times New Roman" w:hAnsi="Times New Roman" w:eastAsia="宋体" w:cs="Times New Roman"/>
                <w:color w:val="auto"/>
                <w:kern w:val="2"/>
                <w:sz w:val="20"/>
                <w:szCs w:val="20"/>
                <w:lang w:eastAsia="zh-CN"/>
              </w:rPr>
            </w:pPr>
            <w:r>
              <w:rPr>
                <w:rFonts w:ascii="Times New Roman" w:hAnsi="Times New Roman" w:eastAsia="宋体" w:cs="Times New Roman"/>
                <w:color w:val="auto"/>
                <w:kern w:val="2"/>
                <w:sz w:val="20"/>
                <w:szCs w:val="20"/>
                <w:lang w:eastAsia="zh-CN"/>
              </w:rPr>
              <w:t>0.158</w:t>
            </w:r>
          </w:p>
        </w:tc>
      </w:tr>
    </w:tbl>
    <w:p w14:paraId="258AA3C8">
      <w:pPr>
        <w:widowControl w:val="0"/>
        <w:jc w:val="both"/>
        <w:rPr>
          <w:rFonts w:ascii="Times New Roman" w:hAnsi="Times New Roman" w:cs="Times New Roman"/>
          <w:color w:val="auto"/>
        </w:rPr>
      </w:pPr>
      <w:r>
        <w:rPr>
          <w:rFonts w:ascii="Times New Roman" w:hAnsi="Times New Roman" w:cs="Times New Roman"/>
          <w:color w:val="auto"/>
        </w:rPr>
        <w:t xml:space="preserve">This model consists of </w:t>
      </w:r>
      <w:r>
        <w:rPr>
          <w:rFonts w:ascii="Times New Roman" w:hAnsi="Times New Roman" w:eastAsia="宋体" w:cs="Times New Roman"/>
          <w:color w:val="auto"/>
          <w:kern w:val="2"/>
          <w:szCs w:val="22"/>
          <w:lang w:eastAsia="zh-CN"/>
        </w:rPr>
        <w:t>age at death, sex, heart weight, CAS and CM.</w:t>
      </w:r>
      <w:r>
        <w:rPr>
          <w:rFonts w:ascii="Times New Roman" w:hAnsi="Times New Roman" w:eastAsia="宋体" w:cs="Times New Roman"/>
          <w:color w:val="auto"/>
          <w:kern w:val="2"/>
          <w:lang w:eastAsia="zh-CN"/>
        </w:rPr>
        <w:t xml:space="preserve"> </w:t>
      </w:r>
      <w:r>
        <w:rPr>
          <w:rFonts w:ascii="Times New Roman" w:hAnsi="Times New Roman" w:cs="Times New Roman"/>
          <w:color w:val="auto"/>
          <w:vertAlign w:val="superscript"/>
        </w:rPr>
        <w:t>b</w:t>
      </w:r>
      <w:r>
        <w:rPr>
          <w:rFonts w:ascii="Times New Roman" w:hAnsi="Times New Roman" w:cs="Times New Roman"/>
          <w:color w:val="auto"/>
        </w:rPr>
        <w:t xml:space="preserve"> tF was converted to a categorical variable divided by quartiles in 924 cases of disease-dominant deaths, while tF</w:t>
      </w:r>
      <w:r>
        <w:rPr>
          <w:rFonts w:hint="eastAsia" w:ascii="Times New Roman" w:hAnsi="Times New Roman" w:cs="Times New Roman"/>
          <w:color w:val="auto"/>
        </w:rPr>
        <w:t>&lt;Q1</w:t>
      </w:r>
      <w:r>
        <w:rPr>
          <w:rFonts w:ascii="Times New Roman" w:hAnsi="Times New Roman" w:cs="Times New Roman"/>
          <w:color w:val="auto"/>
        </w:rPr>
        <w:t xml:space="preserve"> (2.0mm)</w:t>
      </w:r>
      <w:r>
        <w:rPr>
          <w:rFonts w:hint="eastAsia" w:ascii="Times New Roman" w:hAnsi="Times New Roman" w:cs="Times New Roman"/>
          <w:color w:val="auto"/>
        </w:rPr>
        <w:t xml:space="preserve"> and </w:t>
      </w:r>
      <w:r>
        <w:rPr>
          <w:rFonts w:ascii="Times New Roman" w:hAnsi="Times New Roman" w:cs="Times New Roman"/>
          <w:color w:val="auto"/>
        </w:rPr>
        <w:t>tF≥</w:t>
      </w:r>
      <w:r>
        <w:rPr>
          <w:rFonts w:hint="eastAsia" w:ascii="Times New Roman" w:hAnsi="Times New Roman" w:cs="Times New Roman"/>
          <w:color w:val="auto"/>
        </w:rPr>
        <w:t>Q3</w:t>
      </w:r>
      <w:r>
        <w:rPr>
          <w:rFonts w:ascii="Times New Roman" w:hAnsi="Times New Roman" w:cs="Times New Roman"/>
          <w:color w:val="auto"/>
        </w:rPr>
        <w:t xml:space="preserve"> (3.5mm)</w:t>
      </w:r>
      <w:r>
        <w:rPr>
          <w:rFonts w:hint="eastAsia" w:ascii="Times New Roman" w:hAnsi="Times New Roman" w:cs="Times New Roman"/>
          <w:color w:val="auto"/>
        </w:rPr>
        <w:t xml:space="preserve"> were compared to </w:t>
      </w:r>
      <w:r>
        <w:rPr>
          <w:rFonts w:ascii="Times New Roman" w:hAnsi="Times New Roman" w:cs="Times New Roman"/>
          <w:color w:val="auto"/>
        </w:rPr>
        <w:t>2.0mm≤tF</w:t>
      </w:r>
      <w:r>
        <w:rPr>
          <w:rFonts w:hint="eastAsia" w:ascii="Times New Roman" w:hAnsi="Times New Roman" w:cs="Times New Roman"/>
          <w:color w:val="auto"/>
        </w:rPr>
        <w:t>&lt;</w:t>
      </w:r>
      <w:r>
        <w:rPr>
          <w:rFonts w:ascii="Times New Roman" w:hAnsi="Times New Roman" w:cs="Times New Roman"/>
          <w:color w:val="auto"/>
        </w:rPr>
        <w:t>3.5mm.</w:t>
      </w:r>
      <w:r>
        <w:rPr>
          <w:rFonts w:ascii="Times New Roman" w:hAnsi="Times New Roman" w:eastAsia="宋体" w:cs="Times New Roman"/>
          <w:color w:val="auto"/>
          <w:kern w:val="2"/>
          <w:lang w:eastAsia="zh-CN"/>
        </w:rPr>
        <w:t>CAS=coronary atherosclerosis; CM=cardiomyopathies</w:t>
      </w:r>
      <w:r>
        <w:rPr>
          <w:rFonts w:ascii="Times New Roman" w:hAnsi="Times New Roman" w:cs="Times New Roman"/>
          <w:color w:val="auto"/>
        </w:rPr>
        <w:t>; pSPV=perimeter of supra-valve; pMV=perimeter of mid-valve; iSCPV=interval between supraventricular crest-pulmonary valve; tF=thickness of free wall; SCD=sudden cardiac death.</w:t>
      </w:r>
      <w:r>
        <w:rPr>
          <w:color w:val="auto"/>
        </w:rPr>
        <w:t xml:space="preserve"> </w:t>
      </w:r>
      <w:r>
        <w:rPr>
          <w:rFonts w:ascii="Times New Roman" w:hAnsi="Times New Roman" w:cs="Times New Roman"/>
          <w:color w:val="auto"/>
        </w:rPr>
        <w:t>* represents P&lt;0.05.</w:t>
      </w:r>
    </w:p>
    <w:p w14:paraId="20EFCAE0">
      <w:pPr>
        <w:widowControl w:val="0"/>
        <w:jc w:val="both"/>
        <w:rPr>
          <w:rFonts w:ascii="Times New Roman" w:hAnsi="Times New Roman" w:cs="Times New Roman"/>
          <w:color w:val="auto"/>
        </w:rPr>
      </w:pPr>
    </w:p>
    <w:p w14:paraId="3A2E9CB1">
      <w:pPr>
        <w:widowControl w:val="0"/>
        <w:jc w:val="both"/>
        <w:rPr>
          <w:rFonts w:ascii="Times New Roman" w:hAnsi="Times New Roman" w:cs="Times New Roman"/>
          <w:color w:val="auto"/>
        </w:rPr>
        <w:sectPr>
          <w:pgSz w:w="12240" w:h="15840"/>
          <w:pgMar w:top="1440" w:right="1440" w:bottom="1440" w:left="1440" w:header="720" w:footer="720" w:gutter="0"/>
          <w:cols w:space="720" w:num="1"/>
          <w:docGrid w:linePitch="360" w:charSpace="0"/>
        </w:sectPr>
      </w:pPr>
    </w:p>
    <w:p w14:paraId="5F834062">
      <w:pPr>
        <w:jc w:val="both"/>
        <w:rPr>
          <w:rFonts w:ascii="Times New Roman" w:hAnsi="Times New Roman" w:eastAsia="宋体" w:cs="Times New Roman"/>
          <w:color w:val="auto"/>
          <w:kern w:val="2"/>
          <w:lang w:eastAsia="zh-CN"/>
        </w:rPr>
      </w:pPr>
      <w:r>
        <w:rPr>
          <w:rFonts w:ascii="Times New Roman" w:hAnsi="Times New Roman" w:cs="Times New Roman"/>
          <w:b/>
          <w:bCs/>
          <w:color w:val="auto"/>
        </w:rPr>
        <w:t>Table S</w:t>
      </w:r>
      <w:r>
        <w:rPr>
          <w:rFonts w:hint="eastAsia" w:ascii="Times New Roman" w:hAnsi="Times New Roman" w:cs="Times New Roman"/>
          <w:b/>
          <w:bCs/>
          <w:color w:val="auto"/>
          <w:lang w:val="en-US" w:eastAsia="zh-CN"/>
        </w:rPr>
        <w:t>9</w:t>
      </w:r>
      <w:r>
        <w:rPr>
          <w:rFonts w:ascii="Times New Roman" w:hAnsi="Times New Roman" w:cs="Times New Roman"/>
          <w:color w:val="auto"/>
        </w:rPr>
        <w:t>. Comparison of</w:t>
      </w:r>
      <w:r>
        <w:rPr>
          <w:rFonts w:ascii="Times New Roman" w:hAnsi="Times New Roman" w:eastAsia="宋体" w:cs="Times New Roman"/>
          <w:color w:val="auto"/>
          <w:kern w:val="2"/>
          <w:lang w:eastAsia="zh-CN"/>
        </w:rPr>
        <w:t xml:space="preserve"> Age at Death in Disease-Dominant Death and SCD Groups</w:t>
      </w:r>
    </w:p>
    <w:p w14:paraId="211D0385">
      <w:pPr>
        <w:jc w:val="both"/>
        <w:rPr>
          <w:rFonts w:ascii="Times New Roman" w:hAnsi="Times New Roman" w:cs="Times New Roman"/>
          <w:color w:val="auto"/>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26"/>
        <w:gridCol w:w="1124"/>
        <w:gridCol w:w="1839"/>
        <w:gridCol w:w="1121"/>
        <w:gridCol w:w="829"/>
        <w:gridCol w:w="709"/>
        <w:gridCol w:w="828"/>
      </w:tblGrid>
      <w:tr w14:paraId="284A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32" w:type="pct"/>
            <w:vMerge w:val="restart"/>
            <w:tcBorders>
              <w:top w:val="single" w:color="auto" w:sz="12" w:space="0"/>
              <w:bottom w:val="single" w:color="auto" w:sz="4" w:space="0"/>
            </w:tcBorders>
            <w:vAlign w:val="center"/>
          </w:tcPr>
          <w:p w14:paraId="3282EADD">
            <w:pPr>
              <w:spacing w:line="360" w:lineRule="auto"/>
              <w:jc w:val="center"/>
              <w:rPr>
                <w:rFonts w:ascii="Times New Roman" w:hAnsi="Times New Roman" w:cs="Times New Roman"/>
                <w:b/>
                <w:bCs/>
                <w:color w:val="auto"/>
                <w:sz w:val="20"/>
                <w:lang w:eastAsia="zh-CN"/>
              </w:rPr>
            </w:pPr>
            <w:r>
              <w:rPr>
                <w:rFonts w:ascii="Times New Roman" w:hAnsi="Times New Roman" w:cs="Times New Roman"/>
                <w:b/>
                <w:bCs/>
                <w:color w:val="auto"/>
                <w:sz w:val="20"/>
                <w:lang w:eastAsia="zh-CN"/>
              </w:rPr>
              <w:t>Group</w:t>
            </w:r>
          </w:p>
        </w:tc>
        <w:tc>
          <w:tcPr>
            <w:tcW w:w="2132" w:type="pct"/>
            <w:gridSpan w:val="3"/>
            <w:tcBorders>
              <w:top w:val="single" w:color="auto" w:sz="12" w:space="0"/>
              <w:bottom w:val="single" w:color="auto" w:sz="4" w:space="0"/>
            </w:tcBorders>
          </w:tcPr>
          <w:p w14:paraId="4DEE8487">
            <w:pPr>
              <w:spacing w:line="360" w:lineRule="auto"/>
              <w:jc w:val="center"/>
              <w:rPr>
                <w:rFonts w:ascii="Times New Roman" w:hAnsi="Times New Roman" w:cs="Times New Roman"/>
                <w:b/>
                <w:bCs/>
                <w:color w:val="auto"/>
                <w:sz w:val="20"/>
                <w:lang w:eastAsia="zh-CN"/>
              </w:rPr>
            </w:pPr>
            <w:r>
              <w:rPr>
                <w:rFonts w:hint="eastAsia" w:ascii="Times New Roman" w:hAnsi="Times New Roman" w:cs="Times New Roman"/>
                <w:b/>
                <w:bCs/>
                <w:color w:val="auto"/>
                <w:sz w:val="20"/>
                <w:lang w:eastAsia="zh-CN"/>
              </w:rPr>
              <w:t>A</w:t>
            </w:r>
            <w:r>
              <w:rPr>
                <w:rFonts w:ascii="Times New Roman" w:hAnsi="Times New Roman" w:cs="Times New Roman"/>
                <w:b/>
                <w:bCs/>
                <w:color w:val="auto"/>
                <w:sz w:val="20"/>
                <w:lang w:eastAsia="zh-CN"/>
              </w:rPr>
              <w:t>ge at death (y)</w:t>
            </w:r>
          </w:p>
        </w:tc>
        <w:tc>
          <w:tcPr>
            <w:tcW w:w="433" w:type="pct"/>
            <w:vMerge w:val="restart"/>
            <w:tcBorders>
              <w:top w:val="single" w:color="auto" w:sz="12" w:space="0"/>
              <w:bottom w:val="single" w:color="auto" w:sz="4" w:space="0"/>
            </w:tcBorders>
            <w:vAlign w:val="center"/>
          </w:tcPr>
          <w:p w14:paraId="252CC643">
            <w:pPr>
              <w:spacing w:line="360" w:lineRule="auto"/>
              <w:jc w:val="center"/>
              <w:rPr>
                <w:rFonts w:ascii="Times New Roman" w:hAnsi="Times New Roman" w:cs="Times New Roman"/>
                <w:b/>
                <w:bCs/>
                <w:i/>
                <w:color w:val="auto"/>
                <w:sz w:val="20"/>
                <w:vertAlign w:val="superscript"/>
                <w:lang w:eastAsia="zh-CN"/>
              </w:rPr>
            </w:pPr>
            <w:r>
              <w:rPr>
                <w:rFonts w:hint="eastAsia" w:ascii="Times New Roman" w:hAnsi="Times New Roman" w:cs="Times New Roman"/>
                <w:b/>
                <w:bCs/>
                <w:i/>
                <w:color w:val="auto"/>
                <w:sz w:val="20"/>
                <w:lang w:eastAsia="zh-CN"/>
              </w:rPr>
              <w:t>P</w:t>
            </w:r>
            <w:r>
              <w:rPr>
                <w:rFonts w:ascii="Times New Roman" w:hAnsi="Times New Roman" w:cs="Times New Roman"/>
                <w:b/>
                <w:bCs/>
                <w:i/>
                <w:color w:val="auto"/>
                <w:sz w:val="20"/>
                <w:lang w:eastAsia="zh-CN"/>
              </w:rPr>
              <w:t xml:space="preserve"> </w:t>
            </w:r>
            <w:r>
              <w:rPr>
                <w:rFonts w:ascii="Times New Roman" w:hAnsi="Times New Roman" w:cs="Times New Roman"/>
                <w:b/>
                <w:bCs/>
                <w:i/>
                <w:color w:val="auto"/>
                <w:sz w:val="20"/>
                <w:vertAlign w:val="superscript"/>
                <w:lang w:eastAsia="zh-CN"/>
              </w:rPr>
              <w:t>a</w:t>
            </w:r>
          </w:p>
        </w:tc>
        <w:tc>
          <w:tcPr>
            <w:tcW w:w="370" w:type="pct"/>
            <w:vMerge w:val="restart"/>
            <w:tcBorders>
              <w:top w:val="single" w:color="auto" w:sz="12" w:space="0"/>
              <w:bottom w:val="single" w:color="auto" w:sz="4" w:space="0"/>
            </w:tcBorders>
            <w:vAlign w:val="center"/>
          </w:tcPr>
          <w:p w14:paraId="5EFCF3A9">
            <w:pPr>
              <w:spacing w:line="360" w:lineRule="auto"/>
              <w:jc w:val="center"/>
              <w:rPr>
                <w:rFonts w:ascii="Times New Roman" w:hAnsi="Times New Roman" w:cs="Times New Roman"/>
                <w:b/>
                <w:bCs/>
                <w:i/>
                <w:color w:val="auto"/>
                <w:sz w:val="20"/>
                <w:lang w:eastAsia="zh-CN"/>
              </w:rPr>
            </w:pPr>
            <w:r>
              <w:rPr>
                <w:rFonts w:hint="eastAsia" w:ascii="Times New Roman" w:hAnsi="Times New Roman" w:cs="Times New Roman"/>
                <w:b/>
                <w:bCs/>
                <w:i/>
                <w:color w:val="auto"/>
                <w:sz w:val="20"/>
                <w:lang w:eastAsia="zh-CN"/>
              </w:rPr>
              <w:t>P</w:t>
            </w:r>
            <w:r>
              <w:rPr>
                <w:rFonts w:ascii="Times New Roman" w:hAnsi="Times New Roman" w:cs="Times New Roman"/>
                <w:b/>
                <w:bCs/>
                <w:i/>
                <w:color w:val="auto"/>
                <w:sz w:val="20"/>
                <w:lang w:eastAsia="zh-CN"/>
              </w:rPr>
              <w:t xml:space="preserve">1 </w:t>
            </w:r>
            <w:r>
              <w:rPr>
                <w:rFonts w:ascii="Times New Roman" w:hAnsi="Times New Roman" w:cs="Times New Roman"/>
                <w:b/>
                <w:bCs/>
                <w:i/>
                <w:color w:val="auto"/>
                <w:sz w:val="20"/>
                <w:vertAlign w:val="superscript"/>
                <w:lang w:eastAsia="zh-CN"/>
              </w:rPr>
              <w:t>b</w:t>
            </w:r>
          </w:p>
        </w:tc>
        <w:tc>
          <w:tcPr>
            <w:tcW w:w="432" w:type="pct"/>
            <w:vMerge w:val="restart"/>
            <w:tcBorders>
              <w:top w:val="single" w:color="auto" w:sz="12" w:space="0"/>
              <w:bottom w:val="single" w:color="auto" w:sz="4" w:space="0"/>
            </w:tcBorders>
            <w:vAlign w:val="center"/>
          </w:tcPr>
          <w:p w14:paraId="634C0EB6">
            <w:pPr>
              <w:spacing w:line="360" w:lineRule="auto"/>
              <w:jc w:val="center"/>
              <w:rPr>
                <w:rFonts w:ascii="Times New Roman" w:hAnsi="Times New Roman" w:cs="Times New Roman"/>
                <w:b/>
                <w:bCs/>
                <w:i/>
                <w:color w:val="auto"/>
                <w:sz w:val="20"/>
                <w:vertAlign w:val="superscript"/>
                <w:lang w:eastAsia="zh-CN"/>
              </w:rPr>
            </w:pPr>
            <w:r>
              <w:rPr>
                <w:rFonts w:hint="eastAsia" w:ascii="Times New Roman" w:hAnsi="Times New Roman" w:cs="Times New Roman"/>
                <w:b/>
                <w:bCs/>
                <w:i/>
                <w:color w:val="auto"/>
                <w:sz w:val="20"/>
                <w:lang w:eastAsia="zh-CN"/>
              </w:rPr>
              <w:t>P</w:t>
            </w:r>
            <w:r>
              <w:rPr>
                <w:rFonts w:ascii="Times New Roman" w:hAnsi="Times New Roman" w:cs="Times New Roman"/>
                <w:b/>
                <w:bCs/>
                <w:i/>
                <w:color w:val="auto"/>
                <w:sz w:val="20"/>
                <w:lang w:eastAsia="zh-CN"/>
              </w:rPr>
              <w:t xml:space="preserve">2 </w:t>
            </w:r>
            <w:r>
              <w:rPr>
                <w:rFonts w:ascii="Times New Roman" w:hAnsi="Times New Roman" w:cs="Times New Roman"/>
                <w:b/>
                <w:bCs/>
                <w:i/>
                <w:color w:val="auto"/>
                <w:sz w:val="20"/>
                <w:vertAlign w:val="superscript"/>
                <w:lang w:eastAsia="zh-CN"/>
              </w:rPr>
              <w:t>b</w:t>
            </w:r>
          </w:p>
        </w:tc>
      </w:tr>
      <w:tr w14:paraId="443C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jc w:val="center"/>
        </w:trPr>
        <w:tc>
          <w:tcPr>
            <w:tcW w:w="1632" w:type="pct"/>
            <w:vMerge w:val="continue"/>
            <w:tcBorders>
              <w:top w:val="single" w:color="auto" w:sz="4" w:space="0"/>
              <w:bottom w:val="single" w:color="auto" w:sz="4" w:space="0"/>
            </w:tcBorders>
          </w:tcPr>
          <w:p w14:paraId="19F71154">
            <w:pPr>
              <w:spacing w:line="360" w:lineRule="auto"/>
              <w:jc w:val="center"/>
              <w:rPr>
                <w:rFonts w:ascii="Times New Roman" w:hAnsi="Times New Roman" w:cs="Times New Roman"/>
                <w:b/>
                <w:bCs/>
                <w:color w:val="auto"/>
                <w:sz w:val="20"/>
              </w:rPr>
            </w:pPr>
          </w:p>
        </w:tc>
        <w:tc>
          <w:tcPr>
            <w:tcW w:w="587" w:type="pct"/>
            <w:tcBorders>
              <w:top w:val="single" w:color="auto" w:sz="4" w:space="0"/>
              <w:bottom w:val="single" w:color="auto" w:sz="4" w:space="0"/>
            </w:tcBorders>
          </w:tcPr>
          <w:p w14:paraId="769B6C8F">
            <w:pPr>
              <w:spacing w:line="360" w:lineRule="auto"/>
              <w:jc w:val="center"/>
              <w:rPr>
                <w:rFonts w:ascii="Times New Roman" w:hAnsi="Times New Roman" w:cs="Times New Roman"/>
                <w:bCs/>
                <w:color w:val="auto"/>
                <w:sz w:val="20"/>
                <w:lang w:eastAsia="zh-CN"/>
              </w:rPr>
            </w:pPr>
            <w:r>
              <w:rPr>
                <w:rFonts w:ascii="Times New Roman" w:hAnsi="Times New Roman" w:cs="Times New Roman"/>
                <w:bCs/>
                <w:color w:val="auto"/>
                <w:sz w:val="20"/>
                <w:lang w:eastAsia="zh-CN"/>
              </w:rPr>
              <w:t>tS&lt;2.0mm</w:t>
            </w:r>
          </w:p>
        </w:tc>
        <w:tc>
          <w:tcPr>
            <w:tcW w:w="960" w:type="pct"/>
            <w:tcBorders>
              <w:top w:val="single" w:color="auto" w:sz="4" w:space="0"/>
              <w:bottom w:val="single" w:color="auto" w:sz="4" w:space="0"/>
            </w:tcBorders>
          </w:tcPr>
          <w:p w14:paraId="2D20DB66">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2.0mm≤tS&lt;3.0mm</w:t>
            </w:r>
          </w:p>
        </w:tc>
        <w:tc>
          <w:tcPr>
            <w:tcW w:w="585" w:type="pct"/>
            <w:tcBorders>
              <w:top w:val="single" w:color="auto" w:sz="4" w:space="0"/>
              <w:bottom w:val="single" w:color="auto" w:sz="4" w:space="0"/>
            </w:tcBorders>
          </w:tcPr>
          <w:p w14:paraId="071808C4">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tS≥3.0mm</w:t>
            </w:r>
          </w:p>
        </w:tc>
        <w:tc>
          <w:tcPr>
            <w:tcW w:w="433" w:type="pct"/>
            <w:vMerge w:val="continue"/>
            <w:tcBorders>
              <w:bottom w:val="single" w:color="auto" w:sz="4" w:space="0"/>
            </w:tcBorders>
          </w:tcPr>
          <w:p w14:paraId="4AE99824">
            <w:pPr>
              <w:spacing w:line="360" w:lineRule="auto"/>
              <w:jc w:val="center"/>
              <w:rPr>
                <w:rFonts w:ascii="Times New Roman" w:hAnsi="Times New Roman" w:cs="Times New Roman"/>
                <w:b/>
                <w:bCs/>
                <w:color w:val="auto"/>
                <w:sz w:val="20"/>
              </w:rPr>
            </w:pPr>
          </w:p>
        </w:tc>
        <w:tc>
          <w:tcPr>
            <w:tcW w:w="370" w:type="pct"/>
            <w:vMerge w:val="continue"/>
            <w:tcBorders>
              <w:bottom w:val="single" w:color="auto" w:sz="4" w:space="0"/>
            </w:tcBorders>
          </w:tcPr>
          <w:p w14:paraId="04293449">
            <w:pPr>
              <w:spacing w:line="360" w:lineRule="auto"/>
              <w:jc w:val="center"/>
              <w:rPr>
                <w:rFonts w:ascii="Times New Roman" w:hAnsi="Times New Roman" w:cs="Times New Roman"/>
                <w:b/>
                <w:bCs/>
                <w:color w:val="auto"/>
                <w:sz w:val="20"/>
              </w:rPr>
            </w:pPr>
          </w:p>
        </w:tc>
        <w:tc>
          <w:tcPr>
            <w:tcW w:w="432" w:type="pct"/>
            <w:vMerge w:val="continue"/>
            <w:tcBorders>
              <w:bottom w:val="single" w:color="auto" w:sz="4" w:space="0"/>
            </w:tcBorders>
          </w:tcPr>
          <w:p w14:paraId="35DF09D5">
            <w:pPr>
              <w:spacing w:line="360" w:lineRule="auto"/>
              <w:jc w:val="center"/>
              <w:rPr>
                <w:rFonts w:ascii="Times New Roman" w:hAnsi="Times New Roman" w:cs="Times New Roman"/>
                <w:b/>
                <w:bCs/>
                <w:color w:val="auto"/>
                <w:sz w:val="20"/>
              </w:rPr>
            </w:pPr>
          </w:p>
        </w:tc>
      </w:tr>
      <w:tr w14:paraId="0627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32" w:type="pct"/>
            <w:tcBorders>
              <w:top w:val="single" w:color="auto" w:sz="4" w:space="0"/>
            </w:tcBorders>
          </w:tcPr>
          <w:p w14:paraId="7755FAD5">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Disease-dominant death (n=1746)</w:t>
            </w:r>
          </w:p>
        </w:tc>
        <w:tc>
          <w:tcPr>
            <w:tcW w:w="587" w:type="pct"/>
            <w:tcBorders>
              <w:top w:val="single" w:color="auto" w:sz="4" w:space="0"/>
            </w:tcBorders>
          </w:tcPr>
          <w:p w14:paraId="70B9882E">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47.4±15.3</w:t>
            </w:r>
          </w:p>
        </w:tc>
        <w:tc>
          <w:tcPr>
            <w:tcW w:w="960" w:type="pct"/>
            <w:tcBorders>
              <w:top w:val="single" w:color="auto" w:sz="4" w:space="0"/>
            </w:tcBorders>
          </w:tcPr>
          <w:p w14:paraId="74E596DB">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48.6±14.3</w:t>
            </w:r>
          </w:p>
        </w:tc>
        <w:tc>
          <w:tcPr>
            <w:tcW w:w="585" w:type="pct"/>
            <w:tcBorders>
              <w:top w:val="single" w:color="auto" w:sz="4" w:space="0"/>
            </w:tcBorders>
          </w:tcPr>
          <w:p w14:paraId="1461D4C2">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45.4±14.1</w:t>
            </w:r>
          </w:p>
        </w:tc>
        <w:tc>
          <w:tcPr>
            <w:tcW w:w="433" w:type="pct"/>
            <w:tcBorders>
              <w:top w:val="single" w:color="auto" w:sz="4" w:space="0"/>
            </w:tcBorders>
          </w:tcPr>
          <w:p w14:paraId="5179DBBF">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&lt;0.001</w:t>
            </w:r>
          </w:p>
        </w:tc>
        <w:tc>
          <w:tcPr>
            <w:tcW w:w="370" w:type="pct"/>
            <w:tcBorders>
              <w:top w:val="single" w:color="auto" w:sz="4" w:space="0"/>
            </w:tcBorders>
          </w:tcPr>
          <w:p w14:paraId="0524177F">
            <w:pPr>
              <w:spacing w:line="360" w:lineRule="auto"/>
              <w:jc w:val="center"/>
              <w:rPr>
                <w:rFonts w:ascii="Times New Roman" w:hAnsi="Times New Roman" w:cs="Times New Roman"/>
                <w:bCs/>
                <w:color w:val="auto"/>
                <w:sz w:val="20"/>
                <w:lang w:eastAsia="zh-CN"/>
              </w:rPr>
            </w:pPr>
            <w:r>
              <w:rPr>
                <w:rFonts w:hint="eastAsia" w:ascii="Times New Roman" w:hAnsi="Times New Roman" w:cs="Times New Roman"/>
                <w:bCs/>
                <w:color w:val="auto"/>
                <w:sz w:val="20"/>
                <w:lang w:eastAsia="zh-CN"/>
              </w:rPr>
              <w:t>0</w:t>
            </w:r>
            <w:r>
              <w:rPr>
                <w:rFonts w:ascii="Times New Roman" w:hAnsi="Times New Roman" w:cs="Times New Roman"/>
                <w:bCs/>
                <w:color w:val="auto"/>
                <w:sz w:val="20"/>
                <w:lang w:eastAsia="zh-CN"/>
              </w:rPr>
              <w:t>.591</w:t>
            </w:r>
          </w:p>
        </w:tc>
        <w:tc>
          <w:tcPr>
            <w:tcW w:w="432" w:type="pct"/>
            <w:tcBorders>
              <w:top w:val="single" w:color="auto" w:sz="4" w:space="0"/>
            </w:tcBorders>
          </w:tcPr>
          <w:p w14:paraId="769E5B59">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&lt;0.001</w:t>
            </w:r>
          </w:p>
        </w:tc>
      </w:tr>
      <w:tr w14:paraId="6EAE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32" w:type="pct"/>
            <w:tcBorders>
              <w:bottom w:val="single" w:color="auto" w:sz="12" w:space="0"/>
            </w:tcBorders>
          </w:tcPr>
          <w:p w14:paraId="4B597593">
            <w:pPr>
              <w:spacing w:line="360" w:lineRule="auto"/>
              <w:jc w:val="center"/>
              <w:rPr>
                <w:rFonts w:ascii="Times New Roman" w:hAnsi="Times New Roman" w:eastAsia="宋体" w:cs="Times New Roman"/>
                <w:color w:val="auto"/>
                <w:kern w:val="2"/>
                <w:sz w:val="20"/>
                <w:lang w:eastAsia="zh-CN"/>
              </w:rPr>
            </w:pPr>
            <w:r>
              <w:rPr>
                <w:rFonts w:hint="eastAsia" w:ascii="Times New Roman" w:hAnsi="Times New Roman" w:eastAsia="宋体" w:cs="Times New Roman"/>
                <w:color w:val="auto"/>
                <w:kern w:val="2"/>
                <w:sz w:val="20"/>
                <w:lang w:eastAsia="zh-CN"/>
              </w:rPr>
              <w:t>S</w:t>
            </w:r>
            <w:r>
              <w:rPr>
                <w:rFonts w:ascii="Times New Roman" w:hAnsi="Times New Roman" w:eastAsia="宋体" w:cs="Times New Roman"/>
                <w:color w:val="auto"/>
                <w:kern w:val="2"/>
                <w:sz w:val="20"/>
                <w:lang w:eastAsia="zh-CN"/>
              </w:rPr>
              <w:t>CD (n=946)</w:t>
            </w:r>
          </w:p>
        </w:tc>
        <w:tc>
          <w:tcPr>
            <w:tcW w:w="587" w:type="pct"/>
            <w:tcBorders>
              <w:bottom w:val="single" w:color="auto" w:sz="12" w:space="0"/>
            </w:tcBorders>
          </w:tcPr>
          <w:p w14:paraId="35B3798C">
            <w:pPr>
              <w:spacing w:line="360" w:lineRule="auto"/>
              <w:jc w:val="center"/>
              <w:rPr>
                <w:rFonts w:ascii="Times New Roman" w:hAnsi="Times New Roman" w:cs="Times New Roman"/>
                <w:bCs/>
                <w:color w:val="auto"/>
                <w:sz w:val="20"/>
                <w:lang w:eastAsia="zh-CN"/>
              </w:rPr>
            </w:pPr>
            <w:r>
              <w:rPr>
                <w:rFonts w:hint="eastAsia" w:ascii="Times New Roman" w:hAnsi="Times New Roman" w:cs="Times New Roman"/>
                <w:bCs/>
                <w:color w:val="auto"/>
                <w:sz w:val="20"/>
                <w:lang w:eastAsia="zh-CN"/>
              </w:rPr>
              <w:t>4</w:t>
            </w:r>
            <w:r>
              <w:rPr>
                <w:rFonts w:ascii="Times New Roman" w:hAnsi="Times New Roman" w:cs="Times New Roman"/>
                <w:bCs/>
                <w:color w:val="auto"/>
                <w:sz w:val="20"/>
                <w:lang w:eastAsia="zh-CN"/>
              </w:rPr>
              <w:t>8.9</w:t>
            </w:r>
            <w:r>
              <w:rPr>
                <w:rFonts w:ascii="Times New Roman" w:hAnsi="Times New Roman" w:cs="Times New Roman"/>
                <w:bCs/>
                <w:color w:val="auto"/>
                <w:sz w:val="20"/>
              </w:rPr>
              <w:t>±14.7</w:t>
            </w:r>
          </w:p>
        </w:tc>
        <w:tc>
          <w:tcPr>
            <w:tcW w:w="960" w:type="pct"/>
            <w:tcBorders>
              <w:bottom w:val="single" w:color="auto" w:sz="12" w:space="0"/>
            </w:tcBorders>
          </w:tcPr>
          <w:p w14:paraId="14922D8F">
            <w:pPr>
              <w:spacing w:line="360" w:lineRule="auto"/>
              <w:jc w:val="center"/>
              <w:rPr>
                <w:rFonts w:ascii="Times New Roman" w:hAnsi="Times New Roman" w:cs="Times New Roman"/>
                <w:bCs/>
                <w:color w:val="auto"/>
                <w:sz w:val="20"/>
                <w:lang w:eastAsia="zh-CN"/>
              </w:rPr>
            </w:pPr>
            <w:r>
              <w:rPr>
                <w:rFonts w:hint="eastAsia" w:ascii="Times New Roman" w:hAnsi="Times New Roman" w:cs="Times New Roman"/>
                <w:bCs/>
                <w:color w:val="auto"/>
                <w:sz w:val="20"/>
                <w:lang w:eastAsia="zh-CN"/>
              </w:rPr>
              <w:t>5</w:t>
            </w:r>
            <w:r>
              <w:rPr>
                <w:rFonts w:ascii="Times New Roman" w:hAnsi="Times New Roman" w:cs="Times New Roman"/>
                <w:bCs/>
                <w:color w:val="auto"/>
                <w:sz w:val="20"/>
                <w:lang w:eastAsia="zh-CN"/>
              </w:rPr>
              <w:t>0.1</w:t>
            </w:r>
            <w:r>
              <w:rPr>
                <w:rFonts w:ascii="Times New Roman" w:hAnsi="Times New Roman" w:cs="Times New Roman"/>
                <w:bCs/>
                <w:color w:val="auto"/>
                <w:sz w:val="20"/>
              </w:rPr>
              <w:t>±14.4</w:t>
            </w:r>
          </w:p>
        </w:tc>
        <w:tc>
          <w:tcPr>
            <w:tcW w:w="585" w:type="pct"/>
            <w:tcBorders>
              <w:bottom w:val="single" w:color="auto" w:sz="12" w:space="0"/>
            </w:tcBorders>
          </w:tcPr>
          <w:p w14:paraId="6386DD7B">
            <w:pPr>
              <w:spacing w:line="360" w:lineRule="auto"/>
              <w:jc w:val="center"/>
              <w:rPr>
                <w:rFonts w:ascii="Times New Roman" w:hAnsi="Times New Roman" w:cs="Times New Roman"/>
                <w:bCs/>
                <w:color w:val="auto"/>
                <w:sz w:val="20"/>
                <w:lang w:eastAsia="zh-CN"/>
              </w:rPr>
            </w:pPr>
            <w:r>
              <w:rPr>
                <w:rFonts w:hint="eastAsia" w:ascii="Times New Roman" w:hAnsi="Times New Roman" w:cs="Times New Roman"/>
                <w:bCs/>
                <w:color w:val="auto"/>
                <w:sz w:val="20"/>
                <w:lang w:eastAsia="zh-CN"/>
              </w:rPr>
              <w:t>4</w:t>
            </w:r>
            <w:r>
              <w:rPr>
                <w:rFonts w:ascii="Times New Roman" w:hAnsi="Times New Roman" w:cs="Times New Roman"/>
                <w:bCs/>
                <w:color w:val="auto"/>
                <w:sz w:val="20"/>
                <w:lang w:eastAsia="zh-CN"/>
              </w:rPr>
              <w:t>5.1</w:t>
            </w:r>
            <w:r>
              <w:rPr>
                <w:rFonts w:ascii="Times New Roman" w:hAnsi="Times New Roman" w:cs="Times New Roman"/>
                <w:bCs/>
                <w:color w:val="auto"/>
                <w:sz w:val="20"/>
              </w:rPr>
              <w:t>±13.6</w:t>
            </w:r>
          </w:p>
        </w:tc>
        <w:tc>
          <w:tcPr>
            <w:tcW w:w="433" w:type="pct"/>
            <w:tcBorders>
              <w:bottom w:val="single" w:color="auto" w:sz="12" w:space="0"/>
            </w:tcBorders>
          </w:tcPr>
          <w:p w14:paraId="68E45C8A">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&lt;0.001</w:t>
            </w:r>
          </w:p>
        </w:tc>
        <w:tc>
          <w:tcPr>
            <w:tcW w:w="370" w:type="pct"/>
            <w:tcBorders>
              <w:bottom w:val="single" w:color="auto" w:sz="12" w:space="0"/>
            </w:tcBorders>
          </w:tcPr>
          <w:p w14:paraId="20534D2E">
            <w:pPr>
              <w:spacing w:line="360" w:lineRule="auto"/>
              <w:jc w:val="center"/>
              <w:rPr>
                <w:rFonts w:ascii="Times New Roman" w:hAnsi="Times New Roman" w:cs="Times New Roman"/>
                <w:bCs/>
                <w:color w:val="auto"/>
                <w:sz w:val="20"/>
                <w:lang w:eastAsia="zh-CN"/>
              </w:rPr>
            </w:pPr>
            <w:r>
              <w:rPr>
                <w:rFonts w:hint="eastAsia" w:ascii="Times New Roman" w:hAnsi="Times New Roman" w:cs="Times New Roman"/>
                <w:bCs/>
                <w:color w:val="auto"/>
                <w:sz w:val="20"/>
                <w:lang w:eastAsia="zh-CN"/>
              </w:rPr>
              <w:t>0</w:t>
            </w:r>
            <w:r>
              <w:rPr>
                <w:rFonts w:ascii="Times New Roman" w:hAnsi="Times New Roman" w:cs="Times New Roman"/>
                <w:bCs/>
                <w:color w:val="auto"/>
                <w:sz w:val="20"/>
                <w:lang w:eastAsia="zh-CN"/>
              </w:rPr>
              <w:t>.809</w:t>
            </w:r>
          </w:p>
        </w:tc>
        <w:tc>
          <w:tcPr>
            <w:tcW w:w="432" w:type="pct"/>
            <w:tcBorders>
              <w:bottom w:val="single" w:color="auto" w:sz="12" w:space="0"/>
            </w:tcBorders>
          </w:tcPr>
          <w:p w14:paraId="467C98AE">
            <w:pPr>
              <w:spacing w:line="360" w:lineRule="auto"/>
              <w:jc w:val="center"/>
              <w:rPr>
                <w:rFonts w:ascii="Times New Roman" w:hAnsi="Times New Roman" w:cs="Times New Roman"/>
                <w:bCs/>
                <w:color w:val="auto"/>
                <w:sz w:val="20"/>
              </w:rPr>
            </w:pPr>
            <w:r>
              <w:rPr>
                <w:rFonts w:ascii="Times New Roman" w:hAnsi="Times New Roman" w:cs="Times New Roman"/>
                <w:bCs/>
                <w:color w:val="auto"/>
                <w:sz w:val="20"/>
              </w:rPr>
              <w:t>&lt;0.001</w:t>
            </w:r>
          </w:p>
        </w:tc>
      </w:tr>
    </w:tbl>
    <w:p w14:paraId="67C7C188">
      <w:pPr>
        <w:jc w:val="both"/>
        <w:rPr>
          <w:rFonts w:ascii="Times New Roman" w:hAnsi="Times New Roman" w:cs="Times New Roman"/>
          <w:color w:val="auto"/>
        </w:rPr>
        <w:sectPr>
          <w:pgSz w:w="12240" w:h="15840"/>
          <w:pgMar w:top="1440" w:right="1440" w:bottom="1440" w:left="1440" w:header="720" w:footer="720" w:gutter="0"/>
          <w:cols w:space="720" w:num="1"/>
          <w:docGrid w:linePitch="360" w:charSpace="0"/>
        </w:sectPr>
      </w:pPr>
      <w:r>
        <w:rPr>
          <w:rFonts w:hint="eastAsia" w:ascii="Times New Roman" w:hAnsi="Times New Roman" w:cs="Times New Roman"/>
          <w:bCs/>
          <w:color w:val="auto"/>
          <w:vertAlign w:val="superscript"/>
          <w:lang w:eastAsia="zh-CN"/>
        </w:rPr>
        <w:t>a</w:t>
      </w:r>
      <w:r>
        <w:rPr>
          <w:rFonts w:ascii="Times New Roman" w:hAnsi="Times New Roman" w:cs="Times New Roman"/>
          <w:bCs/>
          <w:color w:val="auto"/>
          <w:lang w:eastAsia="zh-CN"/>
        </w:rPr>
        <w:t xml:space="preserve"> </w:t>
      </w:r>
      <w:r>
        <w:rPr>
          <w:rFonts w:ascii="Times New Roman" w:hAnsi="Times New Roman" w:cs="Times New Roman"/>
          <w:bCs/>
          <w:i/>
          <w:color w:val="auto"/>
          <w:lang w:eastAsia="zh-CN"/>
        </w:rPr>
        <w:t>P</w:t>
      </w:r>
      <w:r>
        <w:rPr>
          <w:color w:val="auto"/>
        </w:rPr>
        <w:t xml:space="preserve"> </w:t>
      </w:r>
      <w:r>
        <w:rPr>
          <w:rFonts w:ascii="Times New Roman" w:hAnsi="Times New Roman" w:cs="Times New Roman"/>
          <w:bCs/>
          <w:color w:val="auto"/>
          <w:lang w:eastAsia="zh-CN"/>
        </w:rPr>
        <w:t xml:space="preserve">value was determined by one-way analysis of variance. </w:t>
      </w:r>
      <w:r>
        <w:rPr>
          <w:rFonts w:ascii="Times New Roman" w:hAnsi="Times New Roman" w:cs="Times New Roman"/>
          <w:bCs/>
          <w:color w:val="auto"/>
          <w:vertAlign w:val="superscript"/>
          <w:lang w:eastAsia="zh-CN"/>
        </w:rPr>
        <w:t>b</w:t>
      </w:r>
      <w:r>
        <w:rPr>
          <w:rFonts w:ascii="Times New Roman" w:hAnsi="Times New Roman" w:cs="Times New Roman"/>
          <w:bCs/>
          <w:color w:val="auto"/>
          <w:lang w:eastAsia="zh-CN"/>
        </w:rPr>
        <w:t xml:space="preserve">  P value was determined by Scheffe post-hoc comparison (</w:t>
      </w:r>
      <w:r>
        <w:rPr>
          <w:rFonts w:ascii="Times New Roman" w:hAnsi="Times New Roman" w:cs="Times New Roman"/>
          <w:bCs/>
          <w:i/>
          <w:color w:val="auto"/>
          <w:lang w:eastAsia="zh-CN"/>
        </w:rPr>
        <w:t>P1</w:t>
      </w:r>
      <w:r>
        <w:rPr>
          <w:rFonts w:ascii="Times New Roman" w:hAnsi="Times New Roman" w:cs="Times New Roman"/>
          <w:bCs/>
          <w:color w:val="auto"/>
          <w:lang w:eastAsia="zh-CN"/>
        </w:rPr>
        <w:t xml:space="preserve">, comparison in tS&lt;2.0mm and </w:t>
      </w:r>
      <w:r>
        <w:rPr>
          <w:rFonts w:ascii="Times New Roman" w:hAnsi="Times New Roman" w:cs="Times New Roman"/>
          <w:bCs/>
          <w:color w:val="auto"/>
        </w:rPr>
        <w:t xml:space="preserve">2.0mm≤tS&lt;3.0mm; </w:t>
      </w:r>
      <w:r>
        <w:rPr>
          <w:rFonts w:ascii="Times New Roman" w:hAnsi="Times New Roman" w:cs="Times New Roman"/>
          <w:bCs/>
          <w:i/>
          <w:color w:val="auto"/>
          <w:lang w:eastAsia="zh-CN"/>
        </w:rPr>
        <w:t>P2</w:t>
      </w:r>
      <w:r>
        <w:rPr>
          <w:rFonts w:ascii="Times New Roman" w:hAnsi="Times New Roman" w:cs="Times New Roman"/>
          <w:bCs/>
          <w:color w:val="auto"/>
          <w:lang w:eastAsia="zh-CN"/>
        </w:rPr>
        <w:t>, comparison in</w:t>
      </w:r>
      <w:r>
        <w:rPr>
          <w:rFonts w:ascii="Times New Roman" w:hAnsi="Times New Roman" w:cs="Times New Roman"/>
          <w:color w:val="auto"/>
        </w:rPr>
        <w:t xml:space="preserve"> </w:t>
      </w:r>
      <w:r>
        <w:rPr>
          <w:rFonts w:ascii="Times New Roman" w:hAnsi="Times New Roman" w:cs="Times New Roman"/>
          <w:bCs/>
          <w:color w:val="auto"/>
          <w:lang w:eastAsia="zh-CN"/>
        </w:rPr>
        <w:t xml:space="preserve">tS≥3.0mm and </w:t>
      </w:r>
      <w:r>
        <w:rPr>
          <w:rFonts w:ascii="Times New Roman" w:hAnsi="Times New Roman" w:cs="Times New Roman"/>
          <w:bCs/>
          <w:color w:val="auto"/>
        </w:rPr>
        <w:t>2.0mm≤tS&lt;3.0mm</w:t>
      </w:r>
      <w:r>
        <w:rPr>
          <w:rFonts w:ascii="Times New Roman" w:hAnsi="Times New Roman" w:cs="Times New Roman"/>
          <w:bCs/>
          <w:color w:val="auto"/>
          <w:lang w:eastAsia="zh-CN"/>
        </w:rPr>
        <w:t xml:space="preserve">). </w:t>
      </w:r>
      <w:r>
        <w:rPr>
          <w:rFonts w:ascii="Times New Roman" w:hAnsi="Times New Roman" w:cs="Times New Roman"/>
          <w:color w:val="auto"/>
        </w:rPr>
        <w:t>SCD=sudden cardiac death; tS=thickness of septum.</w:t>
      </w:r>
    </w:p>
    <w:p w14:paraId="00B3A966">
      <w:pPr>
        <w:jc w:val="both"/>
        <w:rPr>
          <w:rFonts w:ascii="Times New Roman" w:hAnsi="Times New Roman" w:cs="Times New Roman"/>
          <w:bCs/>
          <w:color w:val="auto"/>
          <w:lang w:eastAsia="zh-CN"/>
        </w:rPr>
      </w:pPr>
      <w:r>
        <w:rPr>
          <w:rFonts w:ascii="Times New Roman" w:hAnsi="Times New Roman" w:cs="Times New Roman"/>
          <w:b/>
          <w:bCs/>
          <w:color w:val="auto"/>
          <w:lang w:eastAsia="zh-CN"/>
        </w:rPr>
        <w:t>Table S</w:t>
      </w:r>
      <w:r>
        <w:rPr>
          <w:rFonts w:hint="eastAsia" w:ascii="Times New Roman" w:hAnsi="Times New Roman" w:cs="Times New Roman"/>
          <w:b/>
          <w:bCs/>
          <w:color w:val="auto"/>
          <w:lang w:val="en-US" w:eastAsia="zh-CN"/>
        </w:rPr>
        <w:t>10</w:t>
      </w:r>
      <w:r>
        <w:rPr>
          <w:rFonts w:ascii="Times New Roman" w:hAnsi="Times New Roman" w:cs="Times New Roman"/>
          <w:b/>
          <w:bCs/>
          <w:color w:val="auto"/>
          <w:lang w:eastAsia="zh-CN"/>
        </w:rPr>
        <w:t>.</w:t>
      </w:r>
      <w:r>
        <w:rPr>
          <w:rFonts w:ascii="Times New Roman" w:hAnsi="Times New Roman" w:cs="Times New Roman"/>
          <w:bCs/>
          <w:color w:val="auto"/>
          <w:lang w:eastAsia="zh-CN"/>
        </w:rPr>
        <w:t xml:space="preserve"> Multivariate Linear Regression Analysis for Age at Death in SCD Group</w:t>
      </w:r>
    </w:p>
    <w:p w14:paraId="4BECDA45">
      <w:pPr>
        <w:jc w:val="both"/>
        <w:rPr>
          <w:rFonts w:ascii="Times New Roman" w:hAnsi="Times New Roman" w:cs="Times New Roman"/>
          <w:bCs/>
          <w:color w:val="auto"/>
          <w:lang w:eastAsia="zh-CN"/>
        </w:rPr>
      </w:pPr>
    </w:p>
    <w:tbl>
      <w:tblPr>
        <w:tblStyle w:val="14"/>
        <w:tblW w:w="4695"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12"/>
        <w:gridCol w:w="1305"/>
        <w:gridCol w:w="1303"/>
        <w:gridCol w:w="2466"/>
        <w:gridCol w:w="1305"/>
      </w:tblGrid>
      <w:tr w14:paraId="5F15C9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Borders>
              <w:top w:val="single" w:color="auto" w:sz="8" w:space="0"/>
              <w:bottom w:val="single" w:color="auto" w:sz="4" w:space="0"/>
            </w:tcBorders>
          </w:tcPr>
          <w:p w14:paraId="68D29CB6">
            <w:pPr>
              <w:spacing w:line="360" w:lineRule="auto"/>
              <w:jc w:val="center"/>
              <w:rPr>
                <w:rFonts w:ascii="Times New Roman" w:hAnsi="Times New Roman" w:cs="Times New Roman"/>
                <w:b/>
                <w:bCs/>
                <w:color w:val="auto"/>
                <w:sz w:val="20"/>
                <w:szCs w:val="20"/>
                <w:lang w:eastAsia="zh-CN"/>
              </w:rPr>
            </w:pPr>
            <w:r>
              <w:rPr>
                <w:rFonts w:ascii="Times New Roman" w:hAnsi="Times New Roman" w:cs="Times New Roman"/>
                <w:b/>
                <w:bCs/>
                <w:color w:val="auto"/>
                <w:sz w:val="20"/>
                <w:szCs w:val="20"/>
                <w:lang w:eastAsia="zh-CN"/>
              </w:rPr>
              <w:t>Variables</w:t>
            </w:r>
          </w:p>
        </w:tc>
        <w:tc>
          <w:tcPr>
            <w:tcW w:w="726" w:type="pct"/>
            <w:tcBorders>
              <w:top w:val="single" w:color="auto" w:sz="8" w:space="0"/>
              <w:bottom w:val="single" w:color="auto" w:sz="4" w:space="0"/>
            </w:tcBorders>
          </w:tcPr>
          <w:p w14:paraId="511FD8D1">
            <w:pPr>
              <w:spacing w:line="360" w:lineRule="auto"/>
              <w:jc w:val="center"/>
              <w:rPr>
                <w:rFonts w:ascii="Times New Roman" w:hAnsi="Times New Roman" w:cs="Times New Roman"/>
                <w:b/>
                <w:bCs/>
                <w:color w:val="auto"/>
                <w:sz w:val="20"/>
                <w:szCs w:val="20"/>
                <w:lang w:eastAsia="zh-CN"/>
              </w:rPr>
            </w:pPr>
            <w:r>
              <w:rPr>
                <w:rFonts w:ascii="Times New Roman" w:hAnsi="Times New Roman" w:cs="Times New Roman"/>
                <w:b/>
                <w:bCs/>
                <w:color w:val="auto"/>
                <w:sz w:val="20"/>
                <w:szCs w:val="20"/>
                <w:lang w:eastAsia="zh-CN"/>
              </w:rPr>
              <w:t>B</w:t>
            </w:r>
          </w:p>
        </w:tc>
        <w:tc>
          <w:tcPr>
            <w:tcW w:w="725" w:type="pct"/>
            <w:tcBorders>
              <w:top w:val="single" w:color="auto" w:sz="8" w:space="0"/>
              <w:bottom w:val="single" w:color="auto" w:sz="4" w:space="0"/>
            </w:tcBorders>
          </w:tcPr>
          <w:p w14:paraId="5706C7BC">
            <w:pPr>
              <w:spacing w:line="360" w:lineRule="auto"/>
              <w:jc w:val="center"/>
              <w:rPr>
                <w:rFonts w:ascii="Times New Roman" w:hAnsi="Times New Roman" w:cs="Times New Roman"/>
                <w:b/>
                <w:bCs/>
                <w:color w:val="auto"/>
                <w:sz w:val="20"/>
                <w:szCs w:val="20"/>
                <w:lang w:eastAsia="zh-CN"/>
              </w:rPr>
            </w:pPr>
            <w:r>
              <w:rPr>
                <w:rFonts w:ascii="Times New Roman" w:hAnsi="Times New Roman" w:cs="Times New Roman"/>
                <w:b/>
                <w:bCs/>
                <w:color w:val="auto"/>
                <w:sz w:val="20"/>
                <w:szCs w:val="20"/>
                <w:lang w:eastAsia="zh-CN"/>
              </w:rPr>
              <w:t>SE</w:t>
            </w:r>
          </w:p>
        </w:tc>
        <w:tc>
          <w:tcPr>
            <w:tcW w:w="1371" w:type="pct"/>
            <w:tcBorders>
              <w:top w:val="single" w:color="auto" w:sz="8" w:space="0"/>
              <w:bottom w:val="single" w:color="auto" w:sz="4" w:space="0"/>
            </w:tcBorders>
          </w:tcPr>
          <w:p w14:paraId="3F5EA5EB">
            <w:pPr>
              <w:spacing w:line="360" w:lineRule="auto"/>
              <w:jc w:val="center"/>
              <w:rPr>
                <w:rFonts w:ascii="Times New Roman" w:hAnsi="Times New Roman" w:cs="Times New Roman"/>
                <w:b/>
                <w:bCs/>
                <w:color w:val="auto"/>
                <w:sz w:val="20"/>
                <w:szCs w:val="20"/>
                <w:lang w:eastAsia="zh-CN"/>
              </w:rPr>
            </w:pPr>
            <w:r>
              <w:rPr>
                <w:rFonts w:ascii="Times New Roman" w:hAnsi="Times New Roman" w:cs="Times New Roman"/>
                <w:b/>
                <w:bCs/>
                <w:color w:val="auto"/>
                <w:sz w:val="20"/>
                <w:szCs w:val="20"/>
                <w:lang w:eastAsia="zh-CN"/>
              </w:rPr>
              <w:t>β (95%CI)</w:t>
            </w:r>
          </w:p>
        </w:tc>
        <w:tc>
          <w:tcPr>
            <w:tcW w:w="726" w:type="pct"/>
            <w:tcBorders>
              <w:top w:val="single" w:color="auto" w:sz="8" w:space="0"/>
              <w:bottom w:val="single" w:color="auto" w:sz="4" w:space="0"/>
            </w:tcBorders>
          </w:tcPr>
          <w:p w14:paraId="5315A2AF">
            <w:pPr>
              <w:spacing w:line="360" w:lineRule="auto"/>
              <w:jc w:val="center"/>
              <w:rPr>
                <w:rFonts w:ascii="Times New Roman" w:hAnsi="Times New Roman" w:cs="Times New Roman"/>
                <w:b/>
                <w:bCs/>
                <w:color w:val="auto"/>
                <w:sz w:val="20"/>
                <w:szCs w:val="20"/>
                <w:lang w:eastAsia="zh-CN"/>
              </w:rPr>
            </w:pPr>
            <w:r>
              <w:rPr>
                <w:rFonts w:ascii="Times New Roman" w:hAnsi="Times New Roman" w:cs="Times New Roman"/>
                <w:b/>
                <w:bCs/>
                <w:i/>
                <w:color w:val="auto"/>
                <w:sz w:val="20"/>
                <w:szCs w:val="20"/>
                <w:lang w:eastAsia="zh-CN"/>
              </w:rPr>
              <w:t>P</w:t>
            </w:r>
          </w:p>
        </w:tc>
      </w:tr>
      <w:tr w14:paraId="7451A4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Pr>
          <w:p w14:paraId="55CD1337">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Constant</w:t>
            </w:r>
          </w:p>
        </w:tc>
        <w:tc>
          <w:tcPr>
            <w:tcW w:w="726" w:type="pct"/>
          </w:tcPr>
          <w:p w14:paraId="33C38EAE">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41.941</w:t>
            </w:r>
          </w:p>
        </w:tc>
        <w:tc>
          <w:tcPr>
            <w:tcW w:w="725" w:type="pct"/>
          </w:tcPr>
          <w:p w14:paraId="2A3ECC5D">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1</w:t>
            </w:r>
            <w:r>
              <w:rPr>
                <w:rFonts w:ascii="Times New Roman" w:hAnsi="Times New Roman" w:cs="Times New Roman"/>
                <w:bCs/>
                <w:color w:val="auto"/>
                <w:sz w:val="20"/>
                <w:szCs w:val="20"/>
                <w:lang w:eastAsia="zh-CN"/>
              </w:rPr>
              <w:t>.893</w:t>
            </w:r>
          </w:p>
        </w:tc>
        <w:tc>
          <w:tcPr>
            <w:tcW w:w="1371" w:type="pct"/>
          </w:tcPr>
          <w:p w14:paraId="7C32DD2E">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w:t>
            </w:r>
          </w:p>
        </w:tc>
        <w:tc>
          <w:tcPr>
            <w:tcW w:w="726" w:type="pct"/>
          </w:tcPr>
          <w:p w14:paraId="746C58BF">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&lt;0.001</w:t>
            </w:r>
          </w:p>
        </w:tc>
      </w:tr>
      <w:tr w14:paraId="0781F3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Pr>
          <w:p w14:paraId="60C8DC8C">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Sex</w:t>
            </w:r>
          </w:p>
        </w:tc>
        <w:tc>
          <w:tcPr>
            <w:tcW w:w="726" w:type="pct"/>
          </w:tcPr>
          <w:p w14:paraId="627FFC3D">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-9.551</w:t>
            </w:r>
          </w:p>
        </w:tc>
        <w:tc>
          <w:tcPr>
            <w:tcW w:w="725" w:type="pct"/>
          </w:tcPr>
          <w:p w14:paraId="46496395">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1</w:t>
            </w:r>
            <w:r>
              <w:rPr>
                <w:rFonts w:ascii="Times New Roman" w:hAnsi="Times New Roman" w:cs="Times New Roman"/>
                <w:bCs/>
                <w:color w:val="auto"/>
                <w:sz w:val="20"/>
                <w:szCs w:val="20"/>
                <w:lang w:eastAsia="zh-CN"/>
              </w:rPr>
              <w:t>.169</w:t>
            </w:r>
          </w:p>
        </w:tc>
        <w:tc>
          <w:tcPr>
            <w:tcW w:w="1371" w:type="pct"/>
          </w:tcPr>
          <w:p w14:paraId="34EDE87D">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w:t>
            </w:r>
            <w:r>
              <w:rPr>
                <w:rFonts w:ascii="Times New Roman" w:hAnsi="Times New Roman" w:cs="Times New Roman"/>
                <w:bCs/>
                <w:color w:val="auto"/>
                <w:sz w:val="20"/>
                <w:szCs w:val="20"/>
                <w:lang w:eastAsia="zh-CN"/>
              </w:rPr>
              <w:t>0.259 (-0.320, -0.196)</w:t>
            </w:r>
          </w:p>
        </w:tc>
        <w:tc>
          <w:tcPr>
            <w:tcW w:w="726" w:type="pct"/>
          </w:tcPr>
          <w:p w14:paraId="7D3A8C5F">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&lt;0.001</w:t>
            </w:r>
          </w:p>
        </w:tc>
      </w:tr>
      <w:tr w14:paraId="7ECC1C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Pr>
          <w:p w14:paraId="33638860">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Heart weight</w:t>
            </w:r>
          </w:p>
        </w:tc>
        <w:tc>
          <w:tcPr>
            <w:tcW w:w="726" w:type="pct"/>
          </w:tcPr>
          <w:p w14:paraId="71567C31">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0.033</w:t>
            </w:r>
          </w:p>
        </w:tc>
        <w:tc>
          <w:tcPr>
            <w:tcW w:w="725" w:type="pct"/>
          </w:tcPr>
          <w:p w14:paraId="0566CB68">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0</w:t>
            </w:r>
            <w:r>
              <w:rPr>
                <w:rFonts w:ascii="Times New Roman" w:hAnsi="Times New Roman" w:cs="Times New Roman"/>
                <w:bCs/>
                <w:color w:val="auto"/>
                <w:sz w:val="20"/>
                <w:szCs w:val="20"/>
                <w:lang w:eastAsia="zh-CN"/>
              </w:rPr>
              <w:t>.004</w:t>
            </w:r>
          </w:p>
        </w:tc>
        <w:tc>
          <w:tcPr>
            <w:tcW w:w="1371" w:type="pct"/>
          </w:tcPr>
          <w:p w14:paraId="6470361E">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0</w:t>
            </w:r>
            <w:r>
              <w:rPr>
                <w:rFonts w:ascii="Times New Roman" w:hAnsi="Times New Roman" w:cs="Times New Roman"/>
                <w:bCs/>
                <w:color w:val="auto"/>
                <w:sz w:val="20"/>
                <w:szCs w:val="20"/>
                <w:lang w:eastAsia="zh-CN"/>
              </w:rPr>
              <w:t>.253 (0.193, 0.314)</w:t>
            </w:r>
          </w:p>
        </w:tc>
        <w:tc>
          <w:tcPr>
            <w:tcW w:w="726" w:type="pct"/>
          </w:tcPr>
          <w:p w14:paraId="7A7DA543">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&lt;0.001</w:t>
            </w:r>
          </w:p>
        </w:tc>
      </w:tr>
      <w:tr w14:paraId="087A6D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Pr>
          <w:p w14:paraId="691359AA">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ASFT</w:t>
            </w:r>
          </w:p>
        </w:tc>
        <w:tc>
          <w:tcPr>
            <w:tcW w:w="726" w:type="pct"/>
          </w:tcPr>
          <w:p w14:paraId="40E54F2C">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-3.004</w:t>
            </w:r>
          </w:p>
        </w:tc>
        <w:tc>
          <w:tcPr>
            <w:tcW w:w="725" w:type="pct"/>
          </w:tcPr>
          <w:p w14:paraId="266D92DE">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0</w:t>
            </w:r>
            <w:r>
              <w:rPr>
                <w:rFonts w:ascii="Times New Roman" w:hAnsi="Times New Roman" w:cs="Times New Roman"/>
                <w:bCs/>
                <w:color w:val="auto"/>
                <w:sz w:val="20"/>
                <w:szCs w:val="20"/>
                <w:lang w:eastAsia="zh-CN"/>
              </w:rPr>
              <w:t>.448</w:t>
            </w:r>
          </w:p>
        </w:tc>
        <w:tc>
          <w:tcPr>
            <w:tcW w:w="1371" w:type="pct"/>
          </w:tcPr>
          <w:p w14:paraId="190823EB">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w:t>
            </w:r>
            <w:r>
              <w:rPr>
                <w:rFonts w:ascii="Times New Roman" w:hAnsi="Times New Roman" w:cs="Times New Roman"/>
                <w:bCs/>
                <w:color w:val="auto"/>
                <w:sz w:val="20"/>
                <w:szCs w:val="20"/>
                <w:lang w:eastAsia="zh-CN"/>
              </w:rPr>
              <w:t>0.205 (-0.267, -0.146)</w:t>
            </w:r>
          </w:p>
        </w:tc>
        <w:tc>
          <w:tcPr>
            <w:tcW w:w="726" w:type="pct"/>
          </w:tcPr>
          <w:p w14:paraId="521DA326">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&lt;0.001</w:t>
            </w:r>
          </w:p>
        </w:tc>
      </w:tr>
      <w:tr w14:paraId="19C8D7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Pr>
          <w:p w14:paraId="7B430674">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CAS</w:t>
            </w:r>
          </w:p>
        </w:tc>
        <w:tc>
          <w:tcPr>
            <w:tcW w:w="726" w:type="pct"/>
          </w:tcPr>
          <w:p w14:paraId="4612B8DE">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1</w:t>
            </w:r>
            <w:r>
              <w:rPr>
                <w:rFonts w:ascii="Times New Roman" w:hAnsi="Times New Roman" w:cs="Times New Roman"/>
                <w:bCs/>
                <w:color w:val="auto"/>
                <w:sz w:val="20"/>
                <w:szCs w:val="20"/>
                <w:lang w:eastAsia="zh-CN"/>
              </w:rPr>
              <w:t>2.520</w:t>
            </w:r>
          </w:p>
        </w:tc>
        <w:tc>
          <w:tcPr>
            <w:tcW w:w="725" w:type="pct"/>
          </w:tcPr>
          <w:p w14:paraId="08A78E91">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0</w:t>
            </w:r>
            <w:r>
              <w:rPr>
                <w:rFonts w:ascii="Times New Roman" w:hAnsi="Times New Roman" w:cs="Times New Roman"/>
                <w:bCs/>
                <w:color w:val="auto"/>
                <w:sz w:val="20"/>
                <w:szCs w:val="20"/>
                <w:lang w:eastAsia="zh-CN"/>
              </w:rPr>
              <w:t>.893</w:t>
            </w:r>
          </w:p>
        </w:tc>
        <w:tc>
          <w:tcPr>
            <w:tcW w:w="1371" w:type="pct"/>
          </w:tcPr>
          <w:p w14:paraId="77094528">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0</w:t>
            </w:r>
            <w:r>
              <w:rPr>
                <w:rFonts w:ascii="Times New Roman" w:hAnsi="Times New Roman" w:cs="Times New Roman"/>
                <w:bCs/>
                <w:color w:val="auto"/>
                <w:sz w:val="20"/>
                <w:szCs w:val="20"/>
                <w:lang w:eastAsia="zh-CN"/>
              </w:rPr>
              <w:t>.414 (0.356, 0.471)</w:t>
            </w:r>
          </w:p>
        </w:tc>
        <w:tc>
          <w:tcPr>
            <w:tcW w:w="726" w:type="pct"/>
          </w:tcPr>
          <w:p w14:paraId="0DC80B8C">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&lt;0.001</w:t>
            </w:r>
          </w:p>
        </w:tc>
      </w:tr>
      <w:tr w14:paraId="7B3C2B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pct"/>
            <w:tcBorders>
              <w:bottom w:val="single" w:color="auto" w:sz="12" w:space="0"/>
            </w:tcBorders>
          </w:tcPr>
          <w:p w14:paraId="41AE2B81">
            <w:pPr>
              <w:spacing w:line="360" w:lineRule="auto"/>
              <w:jc w:val="center"/>
              <w:rPr>
                <w:rFonts w:ascii="Times New Roman" w:hAnsi="Times New Roman" w:cs="Times New Roman"/>
                <w:bCs/>
                <w:color w:val="auto"/>
                <w:sz w:val="20"/>
                <w:szCs w:val="20"/>
                <w:vertAlign w:val="superscript"/>
                <w:lang w:eastAsia="zh-CN"/>
              </w:rPr>
            </w:pPr>
            <w:r>
              <w:rPr>
                <w:rFonts w:ascii="Times New Roman" w:hAnsi="Times New Roman" w:cs="Times New Roman"/>
                <w:bCs/>
                <w:color w:val="auto"/>
                <w:sz w:val="20"/>
                <w:szCs w:val="20"/>
                <w:lang w:eastAsia="zh-CN"/>
              </w:rPr>
              <w:t xml:space="preserve">tS≥3.0mm vs tS&lt;3.0mm </w:t>
            </w:r>
            <w:r>
              <w:rPr>
                <w:rFonts w:ascii="Times New Roman" w:hAnsi="Times New Roman" w:cs="Times New Roman"/>
                <w:bCs/>
                <w:color w:val="auto"/>
                <w:sz w:val="20"/>
                <w:szCs w:val="20"/>
                <w:vertAlign w:val="superscript"/>
                <w:lang w:eastAsia="zh-CN"/>
              </w:rPr>
              <w:t>a</w:t>
            </w:r>
          </w:p>
        </w:tc>
        <w:tc>
          <w:tcPr>
            <w:tcW w:w="726" w:type="pct"/>
            <w:tcBorders>
              <w:bottom w:val="single" w:color="auto" w:sz="12" w:space="0"/>
            </w:tcBorders>
          </w:tcPr>
          <w:p w14:paraId="2B0BF7D0">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-4.415</w:t>
            </w:r>
          </w:p>
        </w:tc>
        <w:tc>
          <w:tcPr>
            <w:tcW w:w="725" w:type="pct"/>
            <w:tcBorders>
              <w:bottom w:val="single" w:color="auto" w:sz="12" w:space="0"/>
            </w:tcBorders>
          </w:tcPr>
          <w:p w14:paraId="7B218D31">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0</w:t>
            </w:r>
            <w:r>
              <w:rPr>
                <w:rFonts w:ascii="Times New Roman" w:hAnsi="Times New Roman" w:cs="Times New Roman"/>
                <w:bCs/>
                <w:color w:val="auto"/>
                <w:sz w:val="20"/>
                <w:szCs w:val="20"/>
                <w:lang w:eastAsia="zh-CN"/>
              </w:rPr>
              <w:t>.829</w:t>
            </w:r>
          </w:p>
        </w:tc>
        <w:tc>
          <w:tcPr>
            <w:tcW w:w="1371" w:type="pct"/>
            <w:tcBorders>
              <w:bottom w:val="single" w:color="auto" w:sz="12" w:space="0"/>
            </w:tcBorders>
          </w:tcPr>
          <w:p w14:paraId="69E741B5">
            <w:pPr>
              <w:spacing w:line="360" w:lineRule="auto"/>
              <w:jc w:val="center"/>
              <w:rPr>
                <w:rFonts w:ascii="Times New Roman" w:hAnsi="Times New Roman" w:cs="Times New Roman"/>
                <w:bCs/>
                <w:color w:val="auto"/>
                <w:sz w:val="20"/>
                <w:szCs w:val="20"/>
                <w:lang w:eastAsia="zh-CN"/>
              </w:rPr>
            </w:pPr>
            <w:r>
              <w:rPr>
                <w:rFonts w:hint="eastAsia" w:ascii="Times New Roman" w:hAnsi="Times New Roman" w:cs="Times New Roman"/>
                <w:bCs/>
                <w:color w:val="auto"/>
                <w:sz w:val="20"/>
                <w:szCs w:val="20"/>
                <w:lang w:eastAsia="zh-CN"/>
              </w:rPr>
              <w:t>-</w:t>
            </w:r>
            <w:r>
              <w:rPr>
                <w:rFonts w:ascii="Times New Roman" w:hAnsi="Times New Roman" w:cs="Times New Roman"/>
                <w:bCs/>
                <w:color w:val="auto"/>
                <w:sz w:val="20"/>
                <w:szCs w:val="20"/>
                <w:lang w:eastAsia="zh-CN"/>
              </w:rPr>
              <w:t>0.154 (-0.211, -0.097)</w:t>
            </w:r>
          </w:p>
        </w:tc>
        <w:tc>
          <w:tcPr>
            <w:tcW w:w="726" w:type="pct"/>
            <w:tcBorders>
              <w:bottom w:val="single" w:color="auto" w:sz="12" w:space="0"/>
            </w:tcBorders>
          </w:tcPr>
          <w:p w14:paraId="57B1E565">
            <w:pPr>
              <w:spacing w:line="360" w:lineRule="auto"/>
              <w:jc w:val="center"/>
              <w:rPr>
                <w:rFonts w:ascii="Times New Roman" w:hAnsi="Times New Roman" w:cs="Times New Roman"/>
                <w:bCs/>
                <w:color w:val="auto"/>
                <w:sz w:val="20"/>
                <w:szCs w:val="20"/>
                <w:lang w:eastAsia="zh-CN"/>
              </w:rPr>
            </w:pPr>
            <w:r>
              <w:rPr>
                <w:rFonts w:ascii="Times New Roman" w:hAnsi="Times New Roman" w:cs="Times New Roman"/>
                <w:bCs/>
                <w:color w:val="auto"/>
                <w:sz w:val="20"/>
                <w:szCs w:val="20"/>
                <w:lang w:eastAsia="zh-CN"/>
              </w:rPr>
              <w:t>&lt;0.001</w:t>
            </w:r>
          </w:p>
        </w:tc>
      </w:tr>
    </w:tbl>
    <w:p w14:paraId="3F7BA9A9">
      <w:pPr>
        <w:jc w:val="both"/>
        <w:rPr>
          <w:rFonts w:ascii="Times New Roman" w:hAnsi="Times New Roman" w:cs="Times New Roman"/>
          <w:bCs/>
          <w:color w:val="auto"/>
          <w:lang w:eastAsia="zh-CN"/>
        </w:rPr>
        <w:sectPr>
          <w:pgSz w:w="12240" w:h="15840"/>
          <w:pgMar w:top="1440" w:right="1440" w:bottom="1440" w:left="1440" w:header="720" w:footer="720" w:gutter="0"/>
          <w:cols w:space="720" w:num="1"/>
          <w:docGrid w:linePitch="360" w:charSpace="0"/>
        </w:sectPr>
      </w:pPr>
      <w:r>
        <w:rPr>
          <w:rFonts w:ascii="Times New Roman" w:hAnsi="Times New Roman" w:cs="Times New Roman"/>
          <w:bCs/>
          <w:color w:val="auto"/>
          <w:lang w:eastAsia="zh-CN"/>
        </w:rPr>
        <w:t xml:space="preserve">This model consists of </w:t>
      </w:r>
      <w:r>
        <w:rPr>
          <w:rFonts w:hint="eastAsia" w:ascii="Times New Roman" w:hAnsi="Times New Roman" w:cs="Times New Roman"/>
          <w:bCs/>
          <w:color w:val="auto"/>
          <w:lang w:eastAsia="zh-CN"/>
        </w:rPr>
        <w:t>sex</w:t>
      </w:r>
      <w:r>
        <w:rPr>
          <w:rFonts w:ascii="Times New Roman" w:hAnsi="Times New Roman" w:cs="Times New Roman"/>
          <w:bCs/>
          <w:color w:val="auto"/>
          <w:lang w:eastAsia="zh-CN"/>
        </w:rPr>
        <w:t xml:space="preserve">, heart weight, ASFT and CAS. F=66.368, </w:t>
      </w:r>
      <w:r>
        <w:rPr>
          <w:rFonts w:ascii="Times New Roman" w:hAnsi="Times New Roman" w:cs="Times New Roman"/>
          <w:bCs/>
          <w:i/>
          <w:color w:val="auto"/>
          <w:lang w:eastAsia="zh-CN"/>
        </w:rPr>
        <w:t>p</w:t>
      </w:r>
      <w:r>
        <w:rPr>
          <w:rFonts w:ascii="Times New Roman" w:hAnsi="Times New Roman" w:cs="Times New Roman"/>
          <w:bCs/>
          <w:color w:val="auto"/>
          <w:lang w:eastAsia="zh-CN"/>
        </w:rPr>
        <w:t>&lt;0.001. R</w:t>
      </w:r>
      <w:r>
        <w:rPr>
          <w:rFonts w:ascii="Times New Roman" w:hAnsi="Times New Roman" w:cs="Times New Roman"/>
          <w:bCs/>
          <w:color w:val="auto"/>
          <w:vertAlign w:val="superscript"/>
          <w:lang w:eastAsia="zh-CN"/>
        </w:rPr>
        <w:t>2</w:t>
      </w:r>
      <w:r>
        <w:rPr>
          <w:rFonts w:ascii="Times New Roman" w:hAnsi="Times New Roman" w:cs="Times New Roman"/>
          <w:bCs/>
          <w:color w:val="auto"/>
          <w:lang w:eastAsia="zh-CN"/>
        </w:rPr>
        <w:t>=0.264, adjusted R</w:t>
      </w:r>
      <w:r>
        <w:rPr>
          <w:rFonts w:ascii="Times New Roman" w:hAnsi="Times New Roman" w:cs="Times New Roman"/>
          <w:bCs/>
          <w:color w:val="auto"/>
          <w:vertAlign w:val="superscript"/>
          <w:lang w:eastAsia="zh-CN"/>
        </w:rPr>
        <w:t>2</w:t>
      </w:r>
      <w:r>
        <w:rPr>
          <w:rFonts w:ascii="Times New Roman" w:hAnsi="Times New Roman" w:cs="Times New Roman"/>
          <w:bCs/>
          <w:color w:val="auto"/>
          <w:lang w:eastAsia="zh-CN"/>
        </w:rPr>
        <w:t xml:space="preserve">=0.260. </w:t>
      </w:r>
      <w:r>
        <w:rPr>
          <w:rFonts w:ascii="Times New Roman" w:hAnsi="Times New Roman" w:cs="Times New Roman"/>
          <w:color w:val="auto"/>
          <w:vertAlign w:val="superscript"/>
        </w:rPr>
        <w:t>a</w:t>
      </w:r>
      <w:r>
        <w:rPr>
          <w:rFonts w:ascii="Times New Roman" w:hAnsi="Times New Roman" w:cs="Times New Roman"/>
          <w:color w:val="auto"/>
        </w:rPr>
        <w:t xml:space="preserve"> </w:t>
      </w:r>
      <w:r>
        <w:rPr>
          <w:rFonts w:ascii="Times New Roman" w:hAnsi="Times New Roman" w:cs="Times New Roman"/>
          <w:color w:val="auto"/>
          <w:lang w:eastAsia="zh-CN"/>
        </w:rPr>
        <w:t xml:space="preserve">tS </w:t>
      </w:r>
      <w:r>
        <w:rPr>
          <w:rFonts w:ascii="Times New Roman" w:hAnsi="Times New Roman" w:cs="Times New Roman"/>
          <w:color w:val="auto"/>
        </w:rPr>
        <w:t xml:space="preserve">was converted to a </w:t>
      </w:r>
      <w:r>
        <w:rPr>
          <w:rFonts w:hint="eastAsia" w:ascii="Times New Roman" w:hAnsi="Times New Roman" w:cs="Times New Roman"/>
          <w:color w:val="auto"/>
        </w:rPr>
        <w:t>dichotomous variable</w:t>
      </w:r>
      <w:r>
        <w:rPr>
          <w:rFonts w:ascii="Times New Roman" w:hAnsi="Times New Roman" w:cs="Times New Roman"/>
          <w:color w:val="auto"/>
        </w:rPr>
        <w:t xml:space="preserve"> at the cut-off of </w:t>
      </w:r>
      <w:r>
        <w:rPr>
          <w:rFonts w:ascii="Times New Roman" w:hAnsi="Times New Roman" w:eastAsia="宋体" w:cs="Times New Roman"/>
          <w:color w:val="auto"/>
          <w:kern w:val="2"/>
          <w:lang w:eastAsia="zh-CN"/>
        </w:rPr>
        <w:t>upper quartile (3.0mm)</w:t>
      </w:r>
      <w:r>
        <w:rPr>
          <w:rFonts w:ascii="Times New Roman" w:hAnsi="Times New Roman" w:cs="Times New Roman"/>
          <w:color w:val="auto"/>
        </w:rPr>
        <w:t xml:space="preserve">. </w:t>
      </w:r>
      <w:r>
        <w:rPr>
          <w:rFonts w:ascii="Times New Roman" w:hAnsi="Times New Roman" w:cs="Times New Roman"/>
          <w:bCs/>
          <w:color w:val="auto"/>
          <w:lang w:eastAsia="zh-CN"/>
        </w:rPr>
        <w:t xml:space="preserve">ASFT=abdominal subcutaneous fat thickness; CAS=coronary atherosclerosis; </w:t>
      </w:r>
      <w:r>
        <w:rPr>
          <w:rFonts w:ascii="Times New Roman" w:hAnsi="Times New Roman" w:cs="Times New Roman"/>
          <w:color w:val="auto"/>
        </w:rPr>
        <w:t xml:space="preserve">SCD=sudden cardiac death; </w:t>
      </w:r>
      <w:r>
        <w:rPr>
          <w:rFonts w:ascii="Times New Roman" w:hAnsi="Times New Roman" w:cs="Times New Roman"/>
          <w:bCs/>
          <w:color w:val="auto"/>
          <w:lang w:eastAsia="zh-CN"/>
        </w:rPr>
        <w:t>tS=thickness of septum.</w:t>
      </w:r>
    </w:p>
    <w:p w14:paraId="298DBC91">
      <w:pPr>
        <w:jc w:val="both"/>
        <w:rPr>
          <w:rFonts w:ascii="Times New Roman" w:hAnsi="Times New Roman" w:cs="Times New Roman"/>
          <w:color w:val="auto"/>
        </w:rPr>
      </w:pPr>
      <w:r>
        <w:rPr>
          <w:rFonts w:ascii="Times New Roman" w:hAnsi="Times New Roman" w:cs="Times New Roman"/>
          <w:b/>
          <w:bCs/>
          <w:color w:val="auto"/>
        </w:rPr>
        <w:t>Table S</w:t>
      </w:r>
      <w:r>
        <w:rPr>
          <w:rFonts w:ascii="Times New Roman" w:hAnsi="Times New Roman" w:cs="Times New Roman"/>
          <w:b/>
          <w:bCs/>
          <w:color w:val="auto"/>
        </w:rPr>
        <w:t>1</w:t>
      </w:r>
      <w:r>
        <w:rPr>
          <w:rFonts w:hint="eastAsia" w:ascii="Times New Roman" w:hAnsi="Times New Roman" w:cs="Times New Roman"/>
          <w:b/>
          <w:bCs/>
          <w:color w:val="auto"/>
          <w:lang w:val="en-US" w:eastAsia="zh-CN"/>
        </w:rPr>
        <w:t>1</w:t>
      </w:r>
      <w:r>
        <w:rPr>
          <w:rFonts w:ascii="Times New Roman" w:hAnsi="Times New Roman" w:cs="Times New Roman"/>
          <w:color w:val="auto"/>
        </w:rPr>
        <w:t>. Comparison of the Training, Validation and Test Cohort</w:t>
      </w:r>
      <w:r>
        <w:rPr>
          <w:rFonts w:hint="eastAsia" w:ascii="Times New Roman" w:hAnsi="Times New Roman" w:cs="Times New Roman"/>
          <w:color w:val="auto"/>
          <w:lang w:eastAsia="zh-CN"/>
        </w:rPr>
        <w:t>s</w:t>
      </w:r>
    </w:p>
    <w:p w14:paraId="0B868F5B">
      <w:pPr>
        <w:rPr>
          <w:rFonts w:ascii="Times New Roman" w:hAnsi="Times New Roman" w:cs="Times New Roman"/>
          <w:b/>
          <w:bCs/>
          <w:color w:val="auto"/>
        </w:rPr>
      </w:pPr>
    </w:p>
    <w:tbl>
      <w:tblPr>
        <w:tblStyle w:val="36"/>
        <w:tblW w:w="10220" w:type="dxa"/>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61"/>
        <w:gridCol w:w="864"/>
        <w:gridCol w:w="1701"/>
        <w:gridCol w:w="1790"/>
        <w:gridCol w:w="1612"/>
        <w:gridCol w:w="992"/>
      </w:tblGrid>
      <w:tr w14:paraId="2A39422D">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261" w:type="dxa"/>
            <w:tcBorders>
              <w:bottom w:val="single" w:color="auto" w:sz="6" w:space="0"/>
              <w:insideH w:val="single" w:sz="6" w:space="0"/>
            </w:tcBorders>
            <w:noWrap/>
            <w:vAlign w:val="center"/>
          </w:tcPr>
          <w:p w14:paraId="399E2436">
            <w:pPr>
              <w:jc w:val="center"/>
              <w:rPr>
                <w:rFonts w:ascii="Times New Roman" w:hAnsi="Times New Roman" w:cs="Times New Roman"/>
                <w:b/>
                <w:color w:val="auto"/>
                <w:kern w:val="2"/>
                <w:sz w:val="22"/>
                <w:szCs w:val="22"/>
                <w:lang w:eastAsia="zh-CN"/>
              </w:rPr>
            </w:pPr>
            <w:r>
              <w:rPr>
                <w:rFonts w:ascii="Times New Roman" w:hAnsi="Times New Roman" w:cs="Times New Roman"/>
                <w:b/>
                <w:color w:val="auto"/>
                <w:kern w:val="2"/>
                <w:sz w:val="22"/>
                <w:szCs w:val="22"/>
                <w:lang w:eastAsia="zh-CN"/>
              </w:rPr>
              <w:t>Candidate variable</w:t>
            </w:r>
          </w:p>
        </w:tc>
        <w:tc>
          <w:tcPr>
            <w:tcW w:w="864" w:type="dxa"/>
            <w:tcBorders>
              <w:bottom w:val="single" w:color="auto" w:sz="6" w:space="0"/>
              <w:insideH w:val="single" w:sz="6" w:space="0"/>
            </w:tcBorders>
            <w:noWrap/>
            <w:vAlign w:val="center"/>
          </w:tcPr>
          <w:p w14:paraId="43B1E4DC">
            <w:pPr>
              <w:jc w:val="center"/>
              <w:rPr>
                <w:rFonts w:ascii="Times New Roman" w:hAnsi="Times New Roman" w:cs="Times New Roman"/>
                <w:b/>
                <w:color w:val="auto"/>
                <w:kern w:val="2"/>
                <w:sz w:val="22"/>
                <w:szCs w:val="22"/>
                <w:lang w:eastAsia="zh-CN"/>
              </w:rPr>
            </w:pPr>
          </w:p>
        </w:tc>
        <w:tc>
          <w:tcPr>
            <w:tcW w:w="1701" w:type="dxa"/>
            <w:tcBorders>
              <w:bottom w:val="single" w:color="auto" w:sz="6" w:space="0"/>
              <w:insideH w:val="single" w:sz="6" w:space="0"/>
            </w:tcBorders>
            <w:noWrap/>
            <w:vAlign w:val="center"/>
          </w:tcPr>
          <w:p w14:paraId="15B6E9D5">
            <w:pPr>
              <w:jc w:val="center"/>
              <w:rPr>
                <w:rFonts w:ascii="Times New Roman" w:hAnsi="Times New Roman" w:cs="Times New Roman"/>
                <w:b/>
                <w:color w:val="auto"/>
                <w:kern w:val="2"/>
                <w:sz w:val="22"/>
                <w:szCs w:val="22"/>
                <w:lang w:eastAsia="zh-CN"/>
              </w:rPr>
            </w:pPr>
            <w:r>
              <w:rPr>
                <w:rFonts w:ascii="Times New Roman" w:hAnsi="Times New Roman" w:cs="Times New Roman"/>
                <w:b/>
                <w:color w:val="auto"/>
                <w:kern w:val="2"/>
                <w:sz w:val="22"/>
                <w:szCs w:val="22"/>
                <w:lang w:eastAsia="zh-CN"/>
              </w:rPr>
              <w:t>Training set</w:t>
            </w:r>
          </w:p>
        </w:tc>
        <w:tc>
          <w:tcPr>
            <w:tcW w:w="1790" w:type="dxa"/>
            <w:tcBorders>
              <w:bottom w:val="single" w:color="auto" w:sz="6" w:space="0"/>
              <w:insideH w:val="single" w:sz="6" w:space="0"/>
            </w:tcBorders>
            <w:noWrap/>
            <w:vAlign w:val="center"/>
          </w:tcPr>
          <w:p w14:paraId="347D0530">
            <w:pPr>
              <w:jc w:val="center"/>
              <w:rPr>
                <w:rFonts w:ascii="Times New Roman" w:hAnsi="Times New Roman" w:cs="Times New Roman"/>
                <w:b/>
                <w:color w:val="auto"/>
                <w:kern w:val="2"/>
                <w:sz w:val="22"/>
                <w:szCs w:val="22"/>
                <w:lang w:eastAsia="zh-CN"/>
              </w:rPr>
            </w:pPr>
            <w:r>
              <w:rPr>
                <w:rFonts w:ascii="Times New Roman" w:hAnsi="Times New Roman" w:cs="Times New Roman"/>
                <w:b/>
                <w:color w:val="auto"/>
                <w:kern w:val="2"/>
                <w:sz w:val="22"/>
                <w:szCs w:val="22"/>
                <w:lang w:eastAsia="zh-CN"/>
              </w:rPr>
              <w:t>Validation set</w:t>
            </w:r>
          </w:p>
        </w:tc>
        <w:tc>
          <w:tcPr>
            <w:tcW w:w="1612" w:type="dxa"/>
            <w:tcBorders>
              <w:bottom w:val="single" w:color="auto" w:sz="6" w:space="0"/>
              <w:insideH w:val="single" w:sz="6" w:space="0"/>
            </w:tcBorders>
            <w:noWrap/>
            <w:vAlign w:val="center"/>
          </w:tcPr>
          <w:p w14:paraId="4DC50DA6">
            <w:pPr>
              <w:jc w:val="center"/>
              <w:rPr>
                <w:rFonts w:ascii="Times New Roman" w:hAnsi="Times New Roman" w:cs="Times New Roman"/>
                <w:b/>
                <w:color w:val="auto"/>
                <w:kern w:val="2"/>
                <w:sz w:val="22"/>
                <w:szCs w:val="22"/>
                <w:lang w:eastAsia="zh-CN"/>
              </w:rPr>
            </w:pPr>
            <w:r>
              <w:rPr>
                <w:rFonts w:ascii="Times New Roman" w:hAnsi="Times New Roman" w:cs="Times New Roman"/>
                <w:b/>
                <w:color w:val="auto"/>
                <w:kern w:val="2"/>
                <w:sz w:val="22"/>
                <w:szCs w:val="22"/>
                <w:lang w:eastAsia="zh-CN"/>
              </w:rPr>
              <w:t>Test set</w:t>
            </w:r>
          </w:p>
        </w:tc>
        <w:tc>
          <w:tcPr>
            <w:tcW w:w="992" w:type="dxa"/>
            <w:tcBorders>
              <w:bottom w:val="single" w:color="auto" w:sz="6" w:space="0"/>
              <w:insideH w:val="single" w:sz="6" w:space="0"/>
            </w:tcBorders>
            <w:noWrap/>
            <w:vAlign w:val="center"/>
          </w:tcPr>
          <w:p w14:paraId="2E173EBC">
            <w:pPr>
              <w:jc w:val="center"/>
              <w:rPr>
                <w:rFonts w:ascii="Times New Roman" w:hAnsi="Times New Roman" w:cs="Times New Roman"/>
                <w:b/>
                <w:color w:val="auto"/>
                <w:kern w:val="2"/>
                <w:sz w:val="22"/>
                <w:szCs w:val="22"/>
                <w:lang w:eastAsia="zh-CN"/>
              </w:rPr>
            </w:pPr>
            <w:r>
              <w:rPr>
                <w:rFonts w:ascii="Times New Roman" w:hAnsi="Times New Roman" w:cs="Times New Roman"/>
                <w:b/>
                <w:i/>
                <w:color w:val="auto"/>
                <w:kern w:val="2"/>
                <w:sz w:val="22"/>
                <w:szCs w:val="22"/>
                <w:lang w:eastAsia="zh-CN"/>
              </w:rPr>
              <w:t xml:space="preserve">P </w:t>
            </w:r>
            <w:r>
              <w:rPr>
                <w:rFonts w:ascii="Times New Roman" w:hAnsi="Times New Roman" w:cs="Times New Roman"/>
                <w:b/>
                <w:color w:val="auto"/>
                <w:kern w:val="2"/>
                <w:sz w:val="22"/>
                <w:szCs w:val="22"/>
                <w:vertAlign w:val="superscript"/>
                <w:lang w:eastAsia="zh-CN"/>
              </w:rPr>
              <w:t>a</w:t>
            </w:r>
          </w:p>
        </w:tc>
      </w:tr>
      <w:tr w14:paraId="2BD9BA83">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261" w:type="dxa"/>
            <w:noWrap/>
            <w:vAlign w:val="center"/>
          </w:tcPr>
          <w:p w14:paraId="0B356109">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n</w:t>
            </w:r>
          </w:p>
        </w:tc>
        <w:tc>
          <w:tcPr>
            <w:tcW w:w="864" w:type="dxa"/>
            <w:noWrap/>
            <w:vAlign w:val="center"/>
          </w:tcPr>
          <w:p w14:paraId="692C9E66">
            <w:pPr>
              <w:jc w:val="center"/>
              <w:rPr>
                <w:rFonts w:ascii="Times New Roman" w:hAnsi="Times New Roman" w:cs="Times New Roman"/>
                <w:color w:val="auto"/>
                <w:kern w:val="2"/>
                <w:sz w:val="22"/>
                <w:szCs w:val="22"/>
                <w:lang w:eastAsia="zh-CN"/>
              </w:rPr>
            </w:pPr>
          </w:p>
        </w:tc>
        <w:tc>
          <w:tcPr>
            <w:tcW w:w="1701" w:type="dxa"/>
            <w:noWrap/>
            <w:vAlign w:val="center"/>
          </w:tcPr>
          <w:p w14:paraId="11D9608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1204</w:t>
            </w:r>
          </w:p>
        </w:tc>
        <w:tc>
          <w:tcPr>
            <w:tcW w:w="1790" w:type="dxa"/>
            <w:noWrap/>
            <w:vAlign w:val="center"/>
          </w:tcPr>
          <w:p w14:paraId="3EB2BEBD">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512</w:t>
            </w:r>
          </w:p>
        </w:tc>
        <w:tc>
          <w:tcPr>
            <w:tcW w:w="1612" w:type="dxa"/>
            <w:noWrap/>
            <w:vAlign w:val="center"/>
          </w:tcPr>
          <w:p w14:paraId="53AC9FF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654</w:t>
            </w:r>
          </w:p>
        </w:tc>
        <w:tc>
          <w:tcPr>
            <w:tcW w:w="992" w:type="dxa"/>
            <w:noWrap/>
            <w:vAlign w:val="center"/>
          </w:tcPr>
          <w:p w14:paraId="2E15A326">
            <w:pPr>
              <w:jc w:val="center"/>
              <w:rPr>
                <w:rFonts w:ascii="Times New Roman" w:hAnsi="Times New Roman" w:cs="Times New Roman"/>
                <w:color w:val="auto"/>
                <w:kern w:val="2"/>
                <w:sz w:val="22"/>
                <w:szCs w:val="22"/>
                <w:lang w:eastAsia="zh-CN"/>
              </w:rPr>
            </w:pPr>
          </w:p>
        </w:tc>
      </w:tr>
      <w:tr w14:paraId="40EF8614">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261" w:type="dxa"/>
            <w:noWrap/>
            <w:vAlign w:val="center"/>
          </w:tcPr>
          <w:p w14:paraId="64CF71B5">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Cardiovascular disease (%)</w:t>
            </w:r>
          </w:p>
        </w:tc>
        <w:tc>
          <w:tcPr>
            <w:tcW w:w="864" w:type="dxa"/>
            <w:noWrap/>
            <w:vAlign w:val="center"/>
          </w:tcPr>
          <w:p w14:paraId="631B2027">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Yes</w:t>
            </w:r>
          </w:p>
        </w:tc>
        <w:tc>
          <w:tcPr>
            <w:tcW w:w="1701" w:type="dxa"/>
            <w:noWrap/>
            <w:vAlign w:val="center"/>
          </w:tcPr>
          <w:p w14:paraId="2DABA95C">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716 (59.5) </w:t>
            </w:r>
          </w:p>
        </w:tc>
        <w:tc>
          <w:tcPr>
            <w:tcW w:w="1790" w:type="dxa"/>
            <w:noWrap/>
            <w:vAlign w:val="center"/>
          </w:tcPr>
          <w:p w14:paraId="6E469959">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315 (61.5) </w:t>
            </w:r>
          </w:p>
        </w:tc>
        <w:tc>
          <w:tcPr>
            <w:tcW w:w="1612" w:type="dxa"/>
            <w:noWrap/>
            <w:vAlign w:val="center"/>
          </w:tcPr>
          <w:p w14:paraId="15869781">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415 (63.5) </w:t>
            </w:r>
          </w:p>
        </w:tc>
        <w:tc>
          <w:tcPr>
            <w:tcW w:w="992" w:type="dxa"/>
            <w:noWrap/>
            <w:vAlign w:val="center"/>
          </w:tcPr>
          <w:p w14:paraId="0A7B452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0.234</w:t>
            </w:r>
          </w:p>
        </w:tc>
      </w:tr>
      <w:tr w14:paraId="47A33BC7">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261" w:type="dxa"/>
            <w:noWrap/>
            <w:vAlign w:val="center"/>
          </w:tcPr>
          <w:p w14:paraId="2010D116">
            <w:pPr>
              <w:jc w:val="center"/>
              <w:rPr>
                <w:rFonts w:ascii="Times New Roman" w:hAnsi="Times New Roman" w:cs="Times New Roman"/>
                <w:color w:val="auto"/>
                <w:kern w:val="2"/>
                <w:sz w:val="22"/>
                <w:szCs w:val="22"/>
                <w:lang w:eastAsia="zh-CN"/>
              </w:rPr>
            </w:pPr>
          </w:p>
        </w:tc>
        <w:tc>
          <w:tcPr>
            <w:tcW w:w="864" w:type="dxa"/>
            <w:noWrap/>
            <w:vAlign w:val="center"/>
          </w:tcPr>
          <w:p w14:paraId="61DB7B8F">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No</w:t>
            </w:r>
          </w:p>
        </w:tc>
        <w:tc>
          <w:tcPr>
            <w:tcW w:w="1701" w:type="dxa"/>
            <w:noWrap/>
            <w:vAlign w:val="center"/>
          </w:tcPr>
          <w:p w14:paraId="73F6146A">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488 (40.5) </w:t>
            </w:r>
          </w:p>
        </w:tc>
        <w:tc>
          <w:tcPr>
            <w:tcW w:w="1790" w:type="dxa"/>
            <w:noWrap/>
            <w:vAlign w:val="center"/>
          </w:tcPr>
          <w:p w14:paraId="7911790C">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197 (38.5) </w:t>
            </w:r>
          </w:p>
        </w:tc>
        <w:tc>
          <w:tcPr>
            <w:tcW w:w="1612" w:type="dxa"/>
            <w:noWrap/>
            <w:vAlign w:val="center"/>
          </w:tcPr>
          <w:p w14:paraId="5136DF5E">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239 (36.5) </w:t>
            </w:r>
          </w:p>
        </w:tc>
        <w:tc>
          <w:tcPr>
            <w:tcW w:w="992" w:type="dxa"/>
            <w:noWrap/>
            <w:vAlign w:val="center"/>
          </w:tcPr>
          <w:p w14:paraId="17D3C093">
            <w:pPr>
              <w:jc w:val="center"/>
              <w:rPr>
                <w:rFonts w:ascii="Times New Roman" w:hAnsi="Times New Roman" w:cs="Times New Roman"/>
                <w:color w:val="auto"/>
                <w:kern w:val="2"/>
                <w:sz w:val="22"/>
                <w:szCs w:val="22"/>
                <w:lang w:eastAsia="zh-CN"/>
              </w:rPr>
            </w:pPr>
          </w:p>
        </w:tc>
      </w:tr>
      <w:tr w14:paraId="1E0B4B0C">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261" w:type="dxa"/>
            <w:noWrap/>
            <w:vAlign w:val="center"/>
          </w:tcPr>
          <w:p w14:paraId="2B8EEB93">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Missingness (%)</w:t>
            </w:r>
          </w:p>
        </w:tc>
        <w:tc>
          <w:tcPr>
            <w:tcW w:w="864" w:type="dxa"/>
            <w:noWrap/>
            <w:vAlign w:val="center"/>
          </w:tcPr>
          <w:p w14:paraId="6E42DF03">
            <w:pPr>
              <w:jc w:val="center"/>
              <w:rPr>
                <w:rFonts w:ascii="Times New Roman" w:hAnsi="Times New Roman" w:cs="Times New Roman"/>
                <w:color w:val="auto"/>
                <w:kern w:val="2"/>
                <w:sz w:val="22"/>
                <w:szCs w:val="22"/>
                <w:lang w:eastAsia="zh-CN"/>
              </w:rPr>
            </w:pPr>
          </w:p>
        </w:tc>
        <w:tc>
          <w:tcPr>
            <w:tcW w:w="1701" w:type="dxa"/>
            <w:noWrap/>
            <w:vAlign w:val="center"/>
          </w:tcPr>
          <w:p w14:paraId="2D9CF79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309 (2.1)</w:t>
            </w:r>
          </w:p>
        </w:tc>
        <w:tc>
          <w:tcPr>
            <w:tcW w:w="1790" w:type="dxa"/>
            <w:noWrap/>
            <w:vAlign w:val="center"/>
          </w:tcPr>
          <w:p w14:paraId="15F29CCB">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122 (2.0)</w:t>
            </w:r>
          </w:p>
        </w:tc>
        <w:tc>
          <w:tcPr>
            <w:tcW w:w="1612" w:type="dxa"/>
            <w:noWrap/>
            <w:vAlign w:val="center"/>
          </w:tcPr>
          <w:p w14:paraId="6B3C237B">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51 (0.3)</w:t>
            </w:r>
          </w:p>
        </w:tc>
        <w:tc>
          <w:tcPr>
            <w:tcW w:w="992" w:type="dxa"/>
            <w:noWrap/>
            <w:vAlign w:val="center"/>
          </w:tcPr>
          <w:p w14:paraId="3439EBA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&lt;0.001</w:t>
            </w:r>
            <w:r>
              <w:rPr>
                <w:rFonts w:ascii="Times New Roman" w:hAnsi="Times New Roman" w:eastAsia="等线" w:cs="Times New Roman"/>
                <w:color w:val="auto"/>
                <w:kern w:val="2"/>
                <w:sz w:val="22"/>
                <w:szCs w:val="22"/>
                <w:vertAlign w:val="superscript"/>
                <w:lang w:eastAsia="zh-CN"/>
              </w:rPr>
              <w:t>*</w:t>
            </w:r>
          </w:p>
        </w:tc>
      </w:tr>
      <w:tr w14:paraId="127241CA">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261" w:type="dxa"/>
            <w:noWrap/>
            <w:vAlign w:val="center"/>
          </w:tcPr>
          <w:p w14:paraId="528C15A6">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Sex (%)</w:t>
            </w:r>
          </w:p>
        </w:tc>
        <w:tc>
          <w:tcPr>
            <w:tcW w:w="864" w:type="dxa"/>
            <w:noWrap/>
            <w:vAlign w:val="center"/>
          </w:tcPr>
          <w:p w14:paraId="7A07C571">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Male</w:t>
            </w:r>
          </w:p>
        </w:tc>
        <w:tc>
          <w:tcPr>
            <w:tcW w:w="1701" w:type="dxa"/>
            <w:noWrap/>
            <w:vAlign w:val="center"/>
          </w:tcPr>
          <w:p w14:paraId="30432C5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912 (75.7) </w:t>
            </w:r>
          </w:p>
        </w:tc>
        <w:tc>
          <w:tcPr>
            <w:tcW w:w="1790" w:type="dxa"/>
            <w:noWrap/>
            <w:vAlign w:val="center"/>
          </w:tcPr>
          <w:p w14:paraId="6773DE94">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377 (73.6) </w:t>
            </w:r>
          </w:p>
        </w:tc>
        <w:tc>
          <w:tcPr>
            <w:tcW w:w="1612" w:type="dxa"/>
            <w:noWrap/>
            <w:vAlign w:val="center"/>
          </w:tcPr>
          <w:p w14:paraId="5449FBA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470 (71.9) </w:t>
            </w:r>
          </w:p>
        </w:tc>
        <w:tc>
          <w:tcPr>
            <w:tcW w:w="992" w:type="dxa"/>
            <w:noWrap/>
            <w:vAlign w:val="center"/>
          </w:tcPr>
          <w:p w14:paraId="7EC4510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0.178</w:t>
            </w:r>
          </w:p>
        </w:tc>
      </w:tr>
      <w:tr w14:paraId="145D3F0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261" w:type="dxa"/>
            <w:noWrap/>
            <w:vAlign w:val="center"/>
          </w:tcPr>
          <w:p w14:paraId="0AF295BB">
            <w:pPr>
              <w:jc w:val="center"/>
              <w:rPr>
                <w:rFonts w:ascii="Times New Roman" w:hAnsi="Times New Roman" w:cs="Times New Roman"/>
                <w:color w:val="auto"/>
                <w:kern w:val="2"/>
                <w:sz w:val="22"/>
                <w:szCs w:val="22"/>
                <w:lang w:eastAsia="zh-CN"/>
              </w:rPr>
            </w:pPr>
          </w:p>
        </w:tc>
        <w:tc>
          <w:tcPr>
            <w:tcW w:w="864" w:type="dxa"/>
            <w:noWrap/>
            <w:vAlign w:val="center"/>
          </w:tcPr>
          <w:p w14:paraId="2765EB45">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Female</w:t>
            </w:r>
          </w:p>
        </w:tc>
        <w:tc>
          <w:tcPr>
            <w:tcW w:w="1701" w:type="dxa"/>
            <w:noWrap/>
            <w:vAlign w:val="center"/>
          </w:tcPr>
          <w:p w14:paraId="2597D20E">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292 (24.3) </w:t>
            </w:r>
          </w:p>
        </w:tc>
        <w:tc>
          <w:tcPr>
            <w:tcW w:w="1790" w:type="dxa"/>
            <w:noWrap/>
            <w:vAlign w:val="center"/>
          </w:tcPr>
          <w:p w14:paraId="7221D03C">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135 (26.4) </w:t>
            </w:r>
          </w:p>
        </w:tc>
        <w:tc>
          <w:tcPr>
            <w:tcW w:w="1612" w:type="dxa"/>
            <w:noWrap/>
            <w:vAlign w:val="center"/>
          </w:tcPr>
          <w:p w14:paraId="648E1468">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184 (28.1) </w:t>
            </w:r>
          </w:p>
        </w:tc>
        <w:tc>
          <w:tcPr>
            <w:tcW w:w="992" w:type="dxa"/>
            <w:noWrap/>
            <w:vAlign w:val="center"/>
          </w:tcPr>
          <w:p w14:paraId="661D2E73">
            <w:pPr>
              <w:jc w:val="center"/>
              <w:rPr>
                <w:rFonts w:ascii="Times New Roman" w:hAnsi="Times New Roman" w:cs="Times New Roman"/>
                <w:color w:val="auto"/>
                <w:kern w:val="2"/>
                <w:sz w:val="22"/>
                <w:szCs w:val="22"/>
                <w:lang w:eastAsia="zh-CN"/>
              </w:rPr>
            </w:pPr>
          </w:p>
        </w:tc>
      </w:tr>
      <w:tr w14:paraId="45B20F95">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33FEACD5">
            <w:pPr>
              <w:ind w:firstLine="1100" w:firstLineChars="500"/>
              <w:jc w:val="both"/>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Age (y)</w:t>
            </w:r>
          </w:p>
        </w:tc>
        <w:tc>
          <w:tcPr>
            <w:tcW w:w="1701" w:type="dxa"/>
            <w:noWrap/>
            <w:vAlign w:val="center"/>
          </w:tcPr>
          <w:p w14:paraId="45D6985A">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45.64 ± 14.96</w:t>
            </w:r>
          </w:p>
        </w:tc>
        <w:tc>
          <w:tcPr>
            <w:tcW w:w="1790" w:type="dxa"/>
            <w:noWrap/>
            <w:vAlign w:val="center"/>
          </w:tcPr>
          <w:p w14:paraId="7812E682">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45.76 ± 15.34</w:t>
            </w:r>
          </w:p>
        </w:tc>
        <w:tc>
          <w:tcPr>
            <w:tcW w:w="1612" w:type="dxa"/>
            <w:noWrap/>
            <w:vAlign w:val="center"/>
          </w:tcPr>
          <w:p w14:paraId="130E8016">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48.48 ± 14.64</w:t>
            </w:r>
          </w:p>
        </w:tc>
        <w:tc>
          <w:tcPr>
            <w:tcW w:w="992" w:type="dxa"/>
            <w:noWrap/>
            <w:vAlign w:val="center"/>
          </w:tcPr>
          <w:p w14:paraId="63437FD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&lt;0.001</w:t>
            </w:r>
            <w:r>
              <w:rPr>
                <w:rFonts w:ascii="Times New Roman" w:hAnsi="Times New Roman" w:eastAsia="等线" w:cs="Times New Roman"/>
                <w:color w:val="auto"/>
                <w:kern w:val="2"/>
                <w:sz w:val="22"/>
                <w:szCs w:val="22"/>
                <w:vertAlign w:val="superscript"/>
                <w:lang w:eastAsia="zh-CN"/>
              </w:rPr>
              <w:t>*</w:t>
            </w:r>
          </w:p>
        </w:tc>
      </w:tr>
      <w:tr w14:paraId="0A0D209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40DF538D">
            <w:pPr>
              <w:ind w:firstLine="880" w:firstLineChars="400"/>
              <w:jc w:val="both"/>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Body height (cm)</w:t>
            </w:r>
          </w:p>
        </w:tc>
        <w:tc>
          <w:tcPr>
            <w:tcW w:w="1701" w:type="dxa"/>
            <w:noWrap/>
            <w:vAlign w:val="center"/>
          </w:tcPr>
          <w:p w14:paraId="138D9FF0">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164.36 ± 8.21</w:t>
            </w:r>
          </w:p>
        </w:tc>
        <w:tc>
          <w:tcPr>
            <w:tcW w:w="1790" w:type="dxa"/>
            <w:noWrap/>
            <w:vAlign w:val="center"/>
          </w:tcPr>
          <w:p w14:paraId="5C91A1C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163.94 ± 8.06</w:t>
            </w:r>
          </w:p>
        </w:tc>
        <w:tc>
          <w:tcPr>
            <w:tcW w:w="1612" w:type="dxa"/>
            <w:noWrap/>
            <w:vAlign w:val="center"/>
          </w:tcPr>
          <w:p w14:paraId="0D41C27B">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164.20 ± 8.38</w:t>
            </w:r>
          </w:p>
        </w:tc>
        <w:tc>
          <w:tcPr>
            <w:tcW w:w="992" w:type="dxa"/>
            <w:noWrap/>
            <w:vAlign w:val="center"/>
          </w:tcPr>
          <w:p w14:paraId="304FBB1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0.624</w:t>
            </w:r>
          </w:p>
        </w:tc>
      </w:tr>
      <w:tr w14:paraId="7B9E9A3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58A7725F">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Abdominal subcutaneous fat thickness (cm)</w:t>
            </w:r>
          </w:p>
        </w:tc>
        <w:tc>
          <w:tcPr>
            <w:tcW w:w="1701" w:type="dxa"/>
            <w:noWrap/>
            <w:vAlign w:val="center"/>
          </w:tcPr>
          <w:p w14:paraId="6C9C742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2.14 ± 1.14</w:t>
            </w:r>
          </w:p>
        </w:tc>
        <w:tc>
          <w:tcPr>
            <w:tcW w:w="1790" w:type="dxa"/>
            <w:noWrap/>
            <w:vAlign w:val="center"/>
          </w:tcPr>
          <w:p w14:paraId="61D8B0A1">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2.11 ± 1.06</w:t>
            </w:r>
          </w:p>
        </w:tc>
        <w:tc>
          <w:tcPr>
            <w:tcW w:w="1612" w:type="dxa"/>
            <w:noWrap/>
            <w:vAlign w:val="center"/>
          </w:tcPr>
          <w:p w14:paraId="0094604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2.24 ± 1.01</w:t>
            </w:r>
          </w:p>
        </w:tc>
        <w:tc>
          <w:tcPr>
            <w:tcW w:w="992" w:type="dxa"/>
            <w:noWrap/>
            <w:vAlign w:val="center"/>
          </w:tcPr>
          <w:p w14:paraId="0A1FAFA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0.082</w:t>
            </w:r>
          </w:p>
        </w:tc>
      </w:tr>
      <w:tr w14:paraId="5FB41C88">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12A1B9EC">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Left ventricular wall thickness (cm)</w:t>
            </w:r>
          </w:p>
        </w:tc>
        <w:tc>
          <w:tcPr>
            <w:tcW w:w="1701" w:type="dxa"/>
            <w:noWrap/>
            <w:vAlign w:val="center"/>
          </w:tcPr>
          <w:p w14:paraId="009B907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1.23 ± 0.20</w:t>
            </w:r>
          </w:p>
        </w:tc>
        <w:tc>
          <w:tcPr>
            <w:tcW w:w="1790" w:type="dxa"/>
            <w:noWrap/>
            <w:vAlign w:val="center"/>
          </w:tcPr>
          <w:p w14:paraId="1FF5938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1.22 ± 0.20</w:t>
            </w:r>
          </w:p>
        </w:tc>
        <w:tc>
          <w:tcPr>
            <w:tcW w:w="1612" w:type="dxa"/>
            <w:noWrap/>
            <w:vAlign w:val="center"/>
          </w:tcPr>
          <w:p w14:paraId="482A2C5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1.24 ± 0.17</w:t>
            </w:r>
          </w:p>
        </w:tc>
        <w:tc>
          <w:tcPr>
            <w:tcW w:w="992" w:type="dxa"/>
            <w:noWrap/>
            <w:vAlign w:val="center"/>
          </w:tcPr>
          <w:p w14:paraId="0EFD285B">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0.041</w:t>
            </w:r>
            <w:r>
              <w:rPr>
                <w:rFonts w:ascii="Times New Roman" w:hAnsi="Times New Roman" w:eastAsia="等线" w:cs="Times New Roman"/>
                <w:color w:val="auto"/>
                <w:kern w:val="2"/>
                <w:sz w:val="22"/>
                <w:szCs w:val="22"/>
                <w:vertAlign w:val="superscript"/>
                <w:lang w:eastAsia="zh-CN"/>
              </w:rPr>
              <w:t>*</w:t>
            </w:r>
          </w:p>
        </w:tc>
      </w:tr>
      <w:tr w14:paraId="2FC5807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105A0B6F">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Right ventricular wall thickness (cm)</w:t>
            </w:r>
          </w:p>
        </w:tc>
        <w:tc>
          <w:tcPr>
            <w:tcW w:w="1701" w:type="dxa"/>
            <w:noWrap/>
            <w:vAlign w:val="center"/>
          </w:tcPr>
          <w:p w14:paraId="4E350269">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0.31 ± 0.09</w:t>
            </w:r>
          </w:p>
        </w:tc>
        <w:tc>
          <w:tcPr>
            <w:tcW w:w="1790" w:type="dxa"/>
            <w:noWrap/>
            <w:vAlign w:val="center"/>
          </w:tcPr>
          <w:p w14:paraId="3C3EE59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0.30 ± 0.07</w:t>
            </w:r>
          </w:p>
        </w:tc>
        <w:tc>
          <w:tcPr>
            <w:tcW w:w="1612" w:type="dxa"/>
            <w:noWrap/>
            <w:vAlign w:val="center"/>
          </w:tcPr>
          <w:p w14:paraId="496701AE">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0.30 ± 0.06</w:t>
            </w:r>
          </w:p>
        </w:tc>
        <w:tc>
          <w:tcPr>
            <w:tcW w:w="992" w:type="dxa"/>
            <w:noWrap/>
            <w:vAlign w:val="center"/>
          </w:tcPr>
          <w:p w14:paraId="0A48C8A9">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0.006</w:t>
            </w:r>
            <w:r>
              <w:rPr>
                <w:rFonts w:ascii="Times New Roman" w:hAnsi="Times New Roman" w:eastAsia="等线" w:cs="Times New Roman"/>
                <w:color w:val="auto"/>
                <w:kern w:val="2"/>
                <w:sz w:val="22"/>
                <w:szCs w:val="22"/>
                <w:vertAlign w:val="superscript"/>
                <w:lang w:eastAsia="zh-CN"/>
              </w:rPr>
              <w:t>*</w:t>
            </w:r>
          </w:p>
        </w:tc>
      </w:tr>
      <w:tr w14:paraId="29CA897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02A9B983">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Circumference of tricuspid annulus (cm)</w:t>
            </w:r>
          </w:p>
        </w:tc>
        <w:tc>
          <w:tcPr>
            <w:tcW w:w="1701" w:type="dxa"/>
            <w:noWrap/>
            <w:vAlign w:val="center"/>
          </w:tcPr>
          <w:p w14:paraId="135CB338">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11.47 ± 0.90</w:t>
            </w:r>
          </w:p>
        </w:tc>
        <w:tc>
          <w:tcPr>
            <w:tcW w:w="1790" w:type="dxa"/>
            <w:noWrap/>
            <w:vAlign w:val="center"/>
          </w:tcPr>
          <w:p w14:paraId="40FDF4E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11.45 ± 0.89</w:t>
            </w:r>
          </w:p>
        </w:tc>
        <w:tc>
          <w:tcPr>
            <w:tcW w:w="1612" w:type="dxa"/>
            <w:noWrap/>
            <w:vAlign w:val="center"/>
          </w:tcPr>
          <w:p w14:paraId="33DAE74B">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11.49 ± 0.81</w:t>
            </w:r>
          </w:p>
        </w:tc>
        <w:tc>
          <w:tcPr>
            <w:tcW w:w="992" w:type="dxa"/>
            <w:noWrap/>
            <w:vAlign w:val="center"/>
          </w:tcPr>
          <w:p w14:paraId="0686F16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0.721</w:t>
            </w:r>
          </w:p>
        </w:tc>
      </w:tr>
      <w:tr w14:paraId="71DD45A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0862F317">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Circumference of pulmonary annulus (cm)</w:t>
            </w:r>
          </w:p>
        </w:tc>
        <w:tc>
          <w:tcPr>
            <w:tcW w:w="1701" w:type="dxa"/>
            <w:noWrap/>
            <w:vAlign w:val="center"/>
          </w:tcPr>
          <w:p w14:paraId="26ABFC8C">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7.85 ± 0.81</w:t>
            </w:r>
          </w:p>
        </w:tc>
        <w:tc>
          <w:tcPr>
            <w:tcW w:w="1790" w:type="dxa"/>
            <w:noWrap/>
            <w:vAlign w:val="center"/>
          </w:tcPr>
          <w:p w14:paraId="69CAE13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7.80 ± 0.78</w:t>
            </w:r>
          </w:p>
        </w:tc>
        <w:tc>
          <w:tcPr>
            <w:tcW w:w="1612" w:type="dxa"/>
            <w:noWrap/>
            <w:vAlign w:val="center"/>
          </w:tcPr>
          <w:p w14:paraId="65A49D59">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7.77 ± 0.81</w:t>
            </w:r>
          </w:p>
        </w:tc>
        <w:tc>
          <w:tcPr>
            <w:tcW w:w="992" w:type="dxa"/>
            <w:noWrap/>
            <w:vAlign w:val="center"/>
          </w:tcPr>
          <w:p w14:paraId="063A3822">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0.169</w:t>
            </w:r>
          </w:p>
        </w:tc>
      </w:tr>
      <w:tr w14:paraId="3B0DDFDA">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73DA31B3">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Circumference of mitral annulus (cm)</w:t>
            </w:r>
          </w:p>
        </w:tc>
        <w:tc>
          <w:tcPr>
            <w:tcW w:w="1701" w:type="dxa"/>
            <w:noWrap/>
            <w:vAlign w:val="center"/>
          </w:tcPr>
          <w:p w14:paraId="16F1F16D">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9.25 ± 0.95</w:t>
            </w:r>
          </w:p>
        </w:tc>
        <w:tc>
          <w:tcPr>
            <w:tcW w:w="1790" w:type="dxa"/>
            <w:noWrap/>
            <w:vAlign w:val="center"/>
          </w:tcPr>
          <w:p w14:paraId="307ECB79">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9.22 ± 0.99</w:t>
            </w:r>
          </w:p>
        </w:tc>
        <w:tc>
          <w:tcPr>
            <w:tcW w:w="1612" w:type="dxa"/>
            <w:noWrap/>
            <w:vAlign w:val="center"/>
          </w:tcPr>
          <w:p w14:paraId="7A30A101">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9.16 ± 0.91</w:t>
            </w:r>
          </w:p>
        </w:tc>
        <w:tc>
          <w:tcPr>
            <w:tcW w:w="992" w:type="dxa"/>
            <w:noWrap/>
            <w:vAlign w:val="center"/>
          </w:tcPr>
          <w:p w14:paraId="5CF8D0D4">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0.135</w:t>
            </w:r>
          </w:p>
        </w:tc>
      </w:tr>
      <w:tr w14:paraId="3135C8DE">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4125" w:type="dxa"/>
            <w:gridSpan w:val="2"/>
            <w:noWrap/>
            <w:vAlign w:val="center"/>
          </w:tcPr>
          <w:p w14:paraId="5952A994">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Circumference of aortic annulus (cm)</w:t>
            </w:r>
          </w:p>
        </w:tc>
        <w:tc>
          <w:tcPr>
            <w:tcW w:w="1701" w:type="dxa"/>
            <w:noWrap/>
            <w:vAlign w:val="center"/>
          </w:tcPr>
          <w:p w14:paraId="01A1F4C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7.04 ± 0.72</w:t>
            </w:r>
          </w:p>
        </w:tc>
        <w:tc>
          <w:tcPr>
            <w:tcW w:w="1790" w:type="dxa"/>
            <w:noWrap/>
            <w:vAlign w:val="center"/>
          </w:tcPr>
          <w:p w14:paraId="301416C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7.01 ± 0.75</w:t>
            </w:r>
          </w:p>
        </w:tc>
        <w:tc>
          <w:tcPr>
            <w:tcW w:w="1612" w:type="dxa"/>
            <w:noWrap/>
            <w:vAlign w:val="center"/>
          </w:tcPr>
          <w:p w14:paraId="78E53FF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7.02 ± 0.69</w:t>
            </w:r>
          </w:p>
        </w:tc>
        <w:tc>
          <w:tcPr>
            <w:tcW w:w="992" w:type="dxa"/>
            <w:noWrap/>
            <w:vAlign w:val="center"/>
          </w:tcPr>
          <w:p w14:paraId="7FD6E45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0.756</w:t>
            </w:r>
          </w:p>
        </w:tc>
      </w:tr>
      <w:tr w14:paraId="2F230568">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125" w:type="dxa"/>
            <w:gridSpan w:val="2"/>
            <w:noWrap/>
            <w:vAlign w:val="center"/>
          </w:tcPr>
          <w:p w14:paraId="7D69BEF7">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Perimeter of sub-valve (cm)</w:t>
            </w:r>
          </w:p>
        </w:tc>
        <w:tc>
          <w:tcPr>
            <w:tcW w:w="1701" w:type="dxa"/>
            <w:noWrap/>
            <w:vAlign w:val="center"/>
          </w:tcPr>
          <w:p w14:paraId="304CD2C3">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7.71 ± 0.91</w:t>
            </w:r>
          </w:p>
        </w:tc>
        <w:tc>
          <w:tcPr>
            <w:tcW w:w="1790" w:type="dxa"/>
            <w:noWrap/>
            <w:vAlign w:val="center"/>
          </w:tcPr>
          <w:p w14:paraId="7026731D">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7.64 ± 0.90</w:t>
            </w:r>
          </w:p>
        </w:tc>
        <w:tc>
          <w:tcPr>
            <w:tcW w:w="1612" w:type="dxa"/>
            <w:noWrap/>
            <w:vAlign w:val="center"/>
          </w:tcPr>
          <w:p w14:paraId="2E5CF268">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7.60 ± 0.88</w:t>
            </w:r>
          </w:p>
        </w:tc>
        <w:tc>
          <w:tcPr>
            <w:tcW w:w="992" w:type="dxa"/>
            <w:noWrap/>
            <w:vAlign w:val="center"/>
          </w:tcPr>
          <w:p w14:paraId="2C3D914D">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0.040</w:t>
            </w:r>
            <w:r>
              <w:rPr>
                <w:rFonts w:ascii="Times New Roman" w:hAnsi="Times New Roman" w:eastAsia="等线" w:cs="Times New Roman"/>
                <w:color w:val="auto"/>
                <w:kern w:val="2"/>
                <w:sz w:val="22"/>
                <w:szCs w:val="22"/>
                <w:vertAlign w:val="superscript"/>
                <w:lang w:eastAsia="zh-CN"/>
              </w:rPr>
              <w:t>*</w:t>
            </w:r>
          </w:p>
        </w:tc>
      </w:tr>
      <w:tr w14:paraId="7ACE9FDF">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125" w:type="dxa"/>
            <w:gridSpan w:val="2"/>
            <w:noWrap/>
            <w:vAlign w:val="center"/>
          </w:tcPr>
          <w:p w14:paraId="71E927B8">
            <w:pPr>
              <w:jc w:val="center"/>
              <w:rPr>
                <w:rFonts w:ascii="Times New Roman" w:hAnsi="Times New Roman" w:cs="Times New Roman"/>
                <w:color w:val="auto"/>
                <w:kern w:val="2"/>
                <w:sz w:val="22"/>
                <w:szCs w:val="22"/>
                <w:lang w:eastAsia="zh-CN"/>
              </w:rPr>
            </w:pPr>
            <w:r>
              <w:rPr>
                <w:rFonts w:ascii="Times New Roman" w:hAnsi="Times New Roman" w:cs="Times New Roman"/>
                <w:color w:val="auto"/>
                <w:kern w:val="2"/>
                <w:sz w:val="22"/>
                <w:szCs w:val="22"/>
                <w:lang w:eastAsia="zh-CN"/>
              </w:rPr>
              <w:t>Thickness of septum (mm)</w:t>
            </w:r>
          </w:p>
        </w:tc>
        <w:tc>
          <w:tcPr>
            <w:tcW w:w="1701" w:type="dxa"/>
            <w:noWrap/>
            <w:vAlign w:val="center"/>
          </w:tcPr>
          <w:p w14:paraId="246EC8D7">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w:t>
            </w:r>
            <w:r>
              <w:rPr>
                <w:rFonts w:hint="eastAsia" w:ascii="Times New Roman" w:hAnsi="Times New Roman" w:eastAsia="等线" w:cs="Times New Roman"/>
                <w:color w:val="auto"/>
                <w:kern w:val="2"/>
                <w:sz w:val="22"/>
                <w:szCs w:val="22"/>
                <w:lang w:eastAsia="zh-CN"/>
              </w:rPr>
              <w:t>.</w:t>
            </w:r>
            <w:r>
              <w:rPr>
                <w:rFonts w:ascii="Times New Roman" w:hAnsi="Times New Roman" w:eastAsia="等线" w:cs="Times New Roman"/>
                <w:color w:val="auto"/>
                <w:kern w:val="2"/>
                <w:sz w:val="22"/>
                <w:szCs w:val="22"/>
                <w:lang w:eastAsia="zh-CN"/>
              </w:rPr>
              <w:t>5 (2.0, 3.0)</w:t>
            </w:r>
          </w:p>
        </w:tc>
        <w:tc>
          <w:tcPr>
            <w:tcW w:w="1790" w:type="dxa"/>
            <w:noWrap/>
            <w:vAlign w:val="center"/>
          </w:tcPr>
          <w:p w14:paraId="37724475">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w:t>
            </w:r>
            <w:r>
              <w:rPr>
                <w:rFonts w:hint="eastAsia" w:ascii="Times New Roman" w:hAnsi="Times New Roman" w:eastAsia="等线" w:cs="Times New Roman"/>
                <w:color w:val="auto"/>
                <w:kern w:val="2"/>
                <w:sz w:val="22"/>
                <w:szCs w:val="22"/>
                <w:lang w:eastAsia="zh-CN"/>
              </w:rPr>
              <w:t>.</w:t>
            </w:r>
            <w:r>
              <w:rPr>
                <w:rFonts w:ascii="Times New Roman" w:hAnsi="Times New Roman" w:eastAsia="等线" w:cs="Times New Roman"/>
                <w:color w:val="auto"/>
                <w:kern w:val="2"/>
                <w:sz w:val="22"/>
                <w:szCs w:val="22"/>
                <w:lang w:eastAsia="zh-CN"/>
              </w:rPr>
              <w:t>5 (2.0, 3.0)</w:t>
            </w:r>
          </w:p>
        </w:tc>
        <w:tc>
          <w:tcPr>
            <w:tcW w:w="1612" w:type="dxa"/>
            <w:noWrap/>
            <w:vAlign w:val="center"/>
          </w:tcPr>
          <w:p w14:paraId="60EB51BE">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 xml:space="preserve">  2</w:t>
            </w:r>
            <w:r>
              <w:rPr>
                <w:rFonts w:hint="eastAsia" w:ascii="Times New Roman" w:hAnsi="Times New Roman" w:eastAsia="等线" w:cs="Times New Roman"/>
                <w:color w:val="auto"/>
                <w:kern w:val="2"/>
                <w:sz w:val="22"/>
                <w:szCs w:val="22"/>
                <w:lang w:eastAsia="zh-CN"/>
              </w:rPr>
              <w:t>.</w:t>
            </w:r>
            <w:r>
              <w:rPr>
                <w:rFonts w:ascii="Times New Roman" w:hAnsi="Times New Roman" w:eastAsia="等线" w:cs="Times New Roman"/>
                <w:color w:val="auto"/>
                <w:kern w:val="2"/>
                <w:sz w:val="22"/>
                <w:szCs w:val="22"/>
                <w:lang w:eastAsia="zh-CN"/>
              </w:rPr>
              <w:t>5 (2.0, 3.0)</w:t>
            </w:r>
          </w:p>
        </w:tc>
        <w:tc>
          <w:tcPr>
            <w:tcW w:w="992" w:type="dxa"/>
            <w:noWrap/>
            <w:vAlign w:val="center"/>
          </w:tcPr>
          <w:p w14:paraId="46BD9ADF">
            <w:pPr>
              <w:jc w:val="center"/>
              <w:rPr>
                <w:rFonts w:ascii="Times New Roman" w:hAnsi="Times New Roman" w:cs="Times New Roman"/>
                <w:color w:val="auto"/>
                <w:kern w:val="2"/>
                <w:sz w:val="22"/>
                <w:szCs w:val="22"/>
                <w:lang w:eastAsia="zh-CN"/>
              </w:rPr>
            </w:pPr>
            <w:r>
              <w:rPr>
                <w:rFonts w:ascii="Times New Roman" w:hAnsi="Times New Roman" w:eastAsia="等线" w:cs="Times New Roman"/>
                <w:color w:val="auto"/>
                <w:kern w:val="2"/>
                <w:sz w:val="22"/>
                <w:szCs w:val="22"/>
                <w:lang w:eastAsia="zh-CN"/>
              </w:rPr>
              <w:t>0.590</w:t>
            </w:r>
          </w:p>
        </w:tc>
      </w:tr>
    </w:tbl>
    <w:p w14:paraId="532BBE23">
      <w:pPr>
        <w:jc w:val="both"/>
        <w:rPr>
          <w:rFonts w:ascii="Times New Roman" w:hAnsi="Times New Roman" w:cs="Times New Roman"/>
          <w:color w:val="auto"/>
        </w:rPr>
        <w:sectPr>
          <w:pgSz w:w="12240" w:h="15840"/>
          <w:pgMar w:top="1440" w:right="1440" w:bottom="1440" w:left="1440" w:header="720" w:footer="720" w:gutter="0"/>
          <w:cols w:space="720" w:num="1"/>
          <w:docGrid w:linePitch="360" w:charSpace="0"/>
        </w:sectPr>
      </w:pPr>
      <w:r>
        <w:rPr>
          <w:rFonts w:ascii="Times New Roman" w:hAnsi="Times New Roman" w:cs="Times New Roman"/>
          <w:color w:val="auto"/>
          <w:vertAlign w:val="superscript"/>
        </w:rPr>
        <w:t>a</w:t>
      </w:r>
      <w:r>
        <w:rPr>
          <w:rFonts w:ascii="Times New Roman" w:hAnsi="Times New Roman" w:cs="Times New Roman"/>
          <w:color w:val="auto"/>
        </w:rPr>
        <w:t xml:space="preserve"> P value was determined by chi-square test, one-way analysis of variance or Kruskal-Wallis H test.</w:t>
      </w:r>
      <w:r>
        <w:rPr>
          <w:rFonts w:ascii="Times New Roman" w:hAnsi="Times New Roman" w:cs="Times New Roman"/>
          <w:color w:val="auto"/>
          <w:lang w:eastAsia="zh-CN"/>
        </w:rPr>
        <w:t xml:space="preserve"> </w:t>
      </w:r>
      <w:r>
        <w:rPr>
          <w:rFonts w:ascii="Times New Roman" w:hAnsi="Times New Roman" w:cs="Times New Roman"/>
          <w:color w:val="auto"/>
        </w:rPr>
        <w:t xml:space="preserve">* represents P&lt;0.05. </w:t>
      </w:r>
    </w:p>
    <w:p w14:paraId="54650924">
      <w:pPr>
        <w:jc w:val="both"/>
        <w:rPr>
          <w:rFonts w:ascii="Times New Roman" w:hAnsi="Times New Roman" w:eastAsia="宋体" w:cs="Times New Roman"/>
          <w:color w:val="auto"/>
          <w:kern w:val="2"/>
          <w:szCs w:val="30"/>
          <w:lang w:eastAsia="zh-CN"/>
        </w:rPr>
      </w:pPr>
      <w:r>
        <w:rPr>
          <w:rFonts w:ascii="Times New Roman" w:hAnsi="Times New Roman" w:eastAsia="宋体" w:cs="Times New Roman"/>
          <w:b/>
          <w:color w:val="auto"/>
          <w:kern w:val="2"/>
          <w:szCs w:val="30"/>
          <w:lang w:eastAsia="zh-CN"/>
        </w:rPr>
        <w:t>Table S</w:t>
      </w:r>
      <w:r>
        <w:rPr>
          <w:rFonts w:ascii="Times New Roman" w:hAnsi="Times New Roman" w:eastAsia="宋体" w:cs="Times New Roman"/>
          <w:b/>
          <w:color w:val="auto"/>
          <w:kern w:val="2"/>
          <w:szCs w:val="30"/>
          <w:lang w:eastAsia="zh-CN"/>
        </w:rPr>
        <w:t>1</w:t>
      </w:r>
      <w:r>
        <w:rPr>
          <w:rFonts w:hint="eastAsia" w:ascii="Times New Roman" w:hAnsi="Times New Roman" w:eastAsia="宋体" w:cs="Times New Roman"/>
          <w:b/>
          <w:color w:val="auto"/>
          <w:kern w:val="2"/>
          <w:szCs w:val="30"/>
          <w:lang w:val="en-US" w:eastAsia="zh-CN"/>
        </w:rPr>
        <w:t>2</w:t>
      </w:r>
      <w:r>
        <w:rPr>
          <w:rFonts w:ascii="Times New Roman" w:hAnsi="Times New Roman" w:eastAsia="宋体" w:cs="Times New Roman"/>
          <w:b/>
          <w:color w:val="auto"/>
          <w:kern w:val="2"/>
          <w:szCs w:val="30"/>
          <w:lang w:eastAsia="zh-CN"/>
        </w:rPr>
        <w:t xml:space="preserve">. </w:t>
      </w:r>
      <w:r>
        <w:rPr>
          <w:rFonts w:ascii="Times New Roman" w:hAnsi="Times New Roman" w:eastAsia="宋体" w:cs="Times New Roman"/>
          <w:color w:val="auto"/>
          <w:kern w:val="2"/>
          <w:szCs w:val="30"/>
          <w:lang w:eastAsia="zh-CN"/>
        </w:rPr>
        <w:t>Statistical Indicators of Eight Machine Learning Algorithms in Training, Validation and Test Sets</w:t>
      </w:r>
    </w:p>
    <w:p w14:paraId="65043D28">
      <w:pPr>
        <w:jc w:val="both"/>
        <w:rPr>
          <w:rFonts w:ascii="Times New Roman" w:hAnsi="Times New Roman" w:eastAsia="宋体" w:cs="Times New Roman"/>
          <w:color w:val="auto"/>
          <w:kern w:val="2"/>
          <w:szCs w:val="30"/>
          <w:lang w:eastAsia="zh-CN"/>
        </w:rPr>
      </w:pPr>
    </w:p>
    <w:tbl>
      <w:tblPr>
        <w:tblStyle w:val="57"/>
        <w:tblW w:w="11416"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6"/>
        <w:gridCol w:w="992"/>
        <w:gridCol w:w="1418"/>
        <w:gridCol w:w="1559"/>
        <w:gridCol w:w="1134"/>
        <w:gridCol w:w="1134"/>
        <w:gridCol w:w="785"/>
        <w:gridCol w:w="255"/>
        <w:gridCol w:w="879"/>
        <w:gridCol w:w="280"/>
        <w:gridCol w:w="880"/>
        <w:gridCol w:w="824"/>
      </w:tblGrid>
      <w:tr w14:paraId="486116E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tcBorders>
              <w:bottom w:val="single" w:color="auto" w:sz="6" w:space="0"/>
              <w:insideH w:val="single" w:sz="6" w:space="0"/>
            </w:tcBorders>
            <w:vAlign w:val="center"/>
          </w:tcPr>
          <w:p w14:paraId="6A7BB806">
            <w:pPr>
              <w:widowControl w:val="0"/>
              <w:autoSpaceDE w:val="0"/>
              <w:autoSpaceDN w:val="0"/>
              <w:adjustRightInd w:val="0"/>
              <w:jc w:val="center"/>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Model</w:t>
            </w:r>
          </w:p>
        </w:tc>
        <w:tc>
          <w:tcPr>
            <w:tcW w:w="992" w:type="dxa"/>
            <w:tcBorders>
              <w:bottom w:val="single" w:color="auto" w:sz="6" w:space="0"/>
              <w:insideH w:val="single" w:sz="6" w:space="0"/>
            </w:tcBorders>
            <w:vAlign w:val="center"/>
          </w:tcPr>
          <w:p w14:paraId="365FB20E">
            <w:pPr>
              <w:widowControl w:val="0"/>
              <w:autoSpaceDE w:val="0"/>
              <w:autoSpaceDN w:val="0"/>
              <w:adjustRightInd w:val="0"/>
              <w:jc w:val="center"/>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 xml:space="preserve">Cutoff </w:t>
            </w:r>
            <w:r>
              <w:rPr>
                <w:rFonts w:ascii="Times New Roman" w:hAnsi="Times New Roman" w:eastAsia="宋体" w:cs="Times New Roman"/>
                <w:b/>
                <w:color w:val="auto"/>
                <w:sz w:val="20"/>
                <w:szCs w:val="20"/>
                <w:vertAlign w:val="superscript"/>
                <w:lang w:eastAsia="zh-CN"/>
              </w:rPr>
              <w:t>*</w:t>
            </w:r>
          </w:p>
        </w:tc>
        <w:tc>
          <w:tcPr>
            <w:tcW w:w="1418" w:type="dxa"/>
            <w:tcBorders>
              <w:bottom w:val="single" w:color="auto" w:sz="6" w:space="0"/>
              <w:insideH w:val="single" w:sz="6" w:space="0"/>
            </w:tcBorders>
            <w:vAlign w:val="center"/>
          </w:tcPr>
          <w:p w14:paraId="102B0278">
            <w:pPr>
              <w:widowControl w:val="0"/>
              <w:autoSpaceDE w:val="0"/>
              <w:autoSpaceDN w:val="0"/>
              <w:adjustRightInd w:val="0"/>
              <w:jc w:val="center"/>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Dataset</w:t>
            </w:r>
          </w:p>
        </w:tc>
        <w:tc>
          <w:tcPr>
            <w:tcW w:w="1559" w:type="dxa"/>
            <w:tcBorders>
              <w:bottom w:val="single" w:color="auto" w:sz="6" w:space="0"/>
              <w:insideH w:val="single" w:sz="6" w:space="0"/>
            </w:tcBorders>
            <w:vAlign w:val="center"/>
          </w:tcPr>
          <w:p w14:paraId="7F68E476">
            <w:pPr>
              <w:widowControl w:val="0"/>
              <w:autoSpaceDE w:val="0"/>
              <w:autoSpaceDN w:val="0"/>
              <w:adjustRightInd w:val="0"/>
              <w:jc w:val="center"/>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Accuracy (95%CI)</w:t>
            </w:r>
          </w:p>
        </w:tc>
        <w:tc>
          <w:tcPr>
            <w:tcW w:w="1134" w:type="dxa"/>
            <w:tcBorders>
              <w:bottom w:val="single" w:color="auto" w:sz="6" w:space="0"/>
              <w:insideH w:val="single" w:sz="6" w:space="0"/>
            </w:tcBorders>
            <w:vAlign w:val="center"/>
          </w:tcPr>
          <w:p w14:paraId="200DA7B1">
            <w:pPr>
              <w:widowControl w:val="0"/>
              <w:autoSpaceDE w:val="0"/>
              <w:autoSpaceDN w:val="0"/>
              <w:adjustRightInd w:val="0"/>
              <w:jc w:val="right"/>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Sensitivity</w:t>
            </w:r>
          </w:p>
        </w:tc>
        <w:tc>
          <w:tcPr>
            <w:tcW w:w="1134" w:type="dxa"/>
            <w:tcBorders>
              <w:bottom w:val="single" w:color="auto" w:sz="6" w:space="0"/>
              <w:insideH w:val="single" w:sz="6" w:space="0"/>
            </w:tcBorders>
            <w:vAlign w:val="center"/>
          </w:tcPr>
          <w:p w14:paraId="5C60078F">
            <w:pPr>
              <w:widowControl w:val="0"/>
              <w:autoSpaceDE w:val="0"/>
              <w:autoSpaceDN w:val="0"/>
              <w:adjustRightInd w:val="0"/>
              <w:jc w:val="right"/>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Specificity</w:t>
            </w:r>
          </w:p>
        </w:tc>
        <w:tc>
          <w:tcPr>
            <w:tcW w:w="785" w:type="dxa"/>
            <w:tcBorders>
              <w:bottom w:val="single" w:color="auto" w:sz="6" w:space="0"/>
              <w:insideH w:val="single" w:sz="6" w:space="0"/>
            </w:tcBorders>
            <w:vAlign w:val="center"/>
          </w:tcPr>
          <w:p w14:paraId="7A9D9694">
            <w:pPr>
              <w:widowControl w:val="0"/>
              <w:autoSpaceDE w:val="0"/>
              <w:autoSpaceDN w:val="0"/>
              <w:adjustRightInd w:val="0"/>
              <w:jc w:val="right"/>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PPV</w:t>
            </w:r>
          </w:p>
        </w:tc>
        <w:tc>
          <w:tcPr>
            <w:tcW w:w="1134" w:type="dxa"/>
            <w:gridSpan w:val="2"/>
            <w:tcBorders>
              <w:bottom w:val="single" w:color="auto" w:sz="6" w:space="0"/>
              <w:insideH w:val="single" w:sz="6" w:space="0"/>
            </w:tcBorders>
            <w:vAlign w:val="center"/>
          </w:tcPr>
          <w:p w14:paraId="3DE0E285">
            <w:pPr>
              <w:widowControl w:val="0"/>
              <w:autoSpaceDE w:val="0"/>
              <w:autoSpaceDN w:val="0"/>
              <w:adjustRightInd w:val="0"/>
              <w:jc w:val="right"/>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NPV</w:t>
            </w:r>
          </w:p>
        </w:tc>
        <w:tc>
          <w:tcPr>
            <w:tcW w:w="1160" w:type="dxa"/>
            <w:gridSpan w:val="2"/>
            <w:tcBorders>
              <w:bottom w:val="single" w:color="auto" w:sz="6" w:space="0"/>
              <w:insideH w:val="single" w:sz="6" w:space="0"/>
            </w:tcBorders>
            <w:vAlign w:val="center"/>
          </w:tcPr>
          <w:p w14:paraId="3EDD56A1">
            <w:pPr>
              <w:widowControl w:val="0"/>
              <w:autoSpaceDE w:val="0"/>
              <w:autoSpaceDN w:val="0"/>
              <w:adjustRightInd w:val="0"/>
              <w:jc w:val="right"/>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F1 score</w:t>
            </w:r>
          </w:p>
        </w:tc>
        <w:tc>
          <w:tcPr>
            <w:tcW w:w="824" w:type="dxa"/>
            <w:tcBorders>
              <w:bottom w:val="single" w:color="auto" w:sz="6" w:space="0"/>
              <w:insideH w:val="single" w:sz="6" w:space="0"/>
            </w:tcBorders>
            <w:vAlign w:val="center"/>
          </w:tcPr>
          <w:p w14:paraId="48DE35BF">
            <w:pPr>
              <w:widowControl w:val="0"/>
              <w:autoSpaceDE w:val="0"/>
              <w:autoSpaceDN w:val="0"/>
              <w:adjustRightInd w:val="0"/>
              <w:jc w:val="right"/>
              <w:rPr>
                <w:rFonts w:ascii="Times New Roman" w:hAnsi="Times New Roman" w:eastAsia="宋体" w:cs="Times New Roman"/>
                <w:b/>
                <w:color w:val="auto"/>
                <w:sz w:val="20"/>
                <w:szCs w:val="20"/>
                <w:lang w:eastAsia="zh-CN"/>
              </w:rPr>
            </w:pPr>
            <w:r>
              <w:rPr>
                <w:rFonts w:ascii="Times New Roman" w:hAnsi="Times New Roman" w:eastAsia="宋体" w:cs="Times New Roman"/>
                <w:b/>
                <w:color w:val="auto"/>
                <w:sz w:val="20"/>
                <w:szCs w:val="20"/>
                <w:lang w:eastAsia="zh-CN"/>
              </w:rPr>
              <w:t>Kappa</w:t>
            </w:r>
          </w:p>
        </w:tc>
      </w:tr>
      <w:tr w14:paraId="1DDB59F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1A2981E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Random forest</w:t>
            </w:r>
          </w:p>
        </w:tc>
        <w:tc>
          <w:tcPr>
            <w:tcW w:w="992" w:type="dxa"/>
            <w:vMerge w:val="restart"/>
            <w:vAlign w:val="center"/>
          </w:tcPr>
          <w:p w14:paraId="2451E34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0.563</w:t>
            </w:r>
          </w:p>
        </w:tc>
        <w:tc>
          <w:tcPr>
            <w:tcW w:w="1418" w:type="dxa"/>
            <w:vAlign w:val="center"/>
          </w:tcPr>
          <w:p w14:paraId="0A004BF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5C8BCF6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0.679 (0.652-0.706)</w:t>
            </w:r>
          </w:p>
        </w:tc>
        <w:tc>
          <w:tcPr>
            <w:tcW w:w="1134" w:type="dxa"/>
            <w:vAlign w:val="center"/>
          </w:tcPr>
          <w:p w14:paraId="4D04DC4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0.761</w:t>
            </w:r>
          </w:p>
        </w:tc>
        <w:tc>
          <w:tcPr>
            <w:tcW w:w="1134" w:type="dxa"/>
            <w:vAlign w:val="center"/>
          </w:tcPr>
          <w:p w14:paraId="2D4BA00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0.559</w:t>
            </w:r>
          </w:p>
        </w:tc>
        <w:tc>
          <w:tcPr>
            <w:tcW w:w="1040" w:type="dxa"/>
            <w:gridSpan w:val="2"/>
            <w:vAlign w:val="center"/>
          </w:tcPr>
          <w:p w14:paraId="04619E8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0.717</w:t>
            </w:r>
          </w:p>
        </w:tc>
        <w:tc>
          <w:tcPr>
            <w:tcW w:w="1159" w:type="dxa"/>
            <w:gridSpan w:val="2"/>
            <w:vAlign w:val="center"/>
          </w:tcPr>
          <w:p w14:paraId="0A9DB73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0.615</w:t>
            </w:r>
          </w:p>
        </w:tc>
        <w:tc>
          <w:tcPr>
            <w:tcW w:w="880" w:type="dxa"/>
            <w:vAlign w:val="center"/>
          </w:tcPr>
          <w:p w14:paraId="0EEE405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0.738</w:t>
            </w:r>
          </w:p>
        </w:tc>
        <w:tc>
          <w:tcPr>
            <w:tcW w:w="824" w:type="dxa"/>
            <w:vAlign w:val="center"/>
          </w:tcPr>
          <w:p w14:paraId="3A8DBACB">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0.325</w:t>
            </w:r>
          </w:p>
        </w:tc>
      </w:tr>
      <w:tr w14:paraId="031E518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068A4FAF">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557AAC51">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0BFF5CC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59ED4E6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0.699 (0.657-0.739)</w:t>
            </w:r>
          </w:p>
        </w:tc>
        <w:tc>
          <w:tcPr>
            <w:tcW w:w="1134" w:type="dxa"/>
            <w:vAlign w:val="center"/>
          </w:tcPr>
          <w:p w14:paraId="16C4769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0.752</w:t>
            </w:r>
          </w:p>
        </w:tc>
        <w:tc>
          <w:tcPr>
            <w:tcW w:w="1134" w:type="dxa"/>
            <w:vAlign w:val="center"/>
          </w:tcPr>
          <w:p w14:paraId="6BDBC06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0.614</w:t>
            </w:r>
          </w:p>
        </w:tc>
        <w:tc>
          <w:tcPr>
            <w:tcW w:w="1040" w:type="dxa"/>
            <w:gridSpan w:val="2"/>
            <w:vAlign w:val="center"/>
          </w:tcPr>
          <w:p w14:paraId="718F19C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0.757</w:t>
            </w:r>
          </w:p>
        </w:tc>
        <w:tc>
          <w:tcPr>
            <w:tcW w:w="1159" w:type="dxa"/>
            <w:gridSpan w:val="2"/>
            <w:vAlign w:val="center"/>
          </w:tcPr>
          <w:p w14:paraId="58FB18B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0.608</w:t>
            </w:r>
          </w:p>
        </w:tc>
        <w:tc>
          <w:tcPr>
            <w:tcW w:w="880" w:type="dxa"/>
            <w:vAlign w:val="center"/>
          </w:tcPr>
          <w:p w14:paraId="2575582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0.755</w:t>
            </w:r>
          </w:p>
        </w:tc>
        <w:tc>
          <w:tcPr>
            <w:tcW w:w="824" w:type="dxa"/>
            <w:vAlign w:val="center"/>
          </w:tcPr>
          <w:p w14:paraId="5880B0F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0.366</w:t>
            </w:r>
          </w:p>
        </w:tc>
      </w:tr>
      <w:tr w14:paraId="185F846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4E238A89">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4AE6B12E">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32FC56B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1F81F92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0.708 (0.671-0.743)</w:t>
            </w:r>
          </w:p>
        </w:tc>
        <w:tc>
          <w:tcPr>
            <w:tcW w:w="1134" w:type="dxa"/>
            <w:vAlign w:val="center"/>
          </w:tcPr>
          <w:p w14:paraId="1FDB67F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0.810</w:t>
            </w:r>
          </w:p>
        </w:tc>
        <w:tc>
          <w:tcPr>
            <w:tcW w:w="1134" w:type="dxa"/>
            <w:vAlign w:val="center"/>
          </w:tcPr>
          <w:p w14:paraId="0F0DEBB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0.531</w:t>
            </w:r>
          </w:p>
        </w:tc>
        <w:tc>
          <w:tcPr>
            <w:tcW w:w="1040" w:type="dxa"/>
            <w:gridSpan w:val="2"/>
            <w:vAlign w:val="center"/>
          </w:tcPr>
          <w:p w14:paraId="69E6C47B">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0.750</w:t>
            </w:r>
          </w:p>
        </w:tc>
        <w:tc>
          <w:tcPr>
            <w:tcW w:w="1159" w:type="dxa"/>
            <w:gridSpan w:val="2"/>
            <w:vAlign w:val="center"/>
          </w:tcPr>
          <w:p w14:paraId="2A7598B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0.617</w:t>
            </w:r>
          </w:p>
        </w:tc>
        <w:tc>
          <w:tcPr>
            <w:tcW w:w="880" w:type="dxa"/>
            <w:vAlign w:val="center"/>
          </w:tcPr>
          <w:p w14:paraId="13A3AEC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0.779</w:t>
            </w:r>
          </w:p>
        </w:tc>
        <w:tc>
          <w:tcPr>
            <w:tcW w:w="824" w:type="dxa"/>
            <w:vAlign w:val="center"/>
          </w:tcPr>
          <w:p w14:paraId="1CCE433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0.351</w:t>
            </w:r>
          </w:p>
        </w:tc>
      </w:tr>
      <w:tr w14:paraId="08E2412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4BCCE83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Logisitic regression</w:t>
            </w:r>
          </w:p>
        </w:tc>
        <w:tc>
          <w:tcPr>
            <w:tcW w:w="992" w:type="dxa"/>
            <w:vMerge w:val="restart"/>
            <w:vAlign w:val="center"/>
          </w:tcPr>
          <w:p w14:paraId="227EB84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0.568</w:t>
            </w:r>
          </w:p>
        </w:tc>
        <w:tc>
          <w:tcPr>
            <w:tcW w:w="1418" w:type="dxa"/>
            <w:vAlign w:val="center"/>
          </w:tcPr>
          <w:p w14:paraId="4BC2293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7D52312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0.681 (0.654-0.707)</w:t>
            </w:r>
          </w:p>
        </w:tc>
        <w:tc>
          <w:tcPr>
            <w:tcW w:w="1134" w:type="dxa"/>
            <w:vAlign w:val="center"/>
          </w:tcPr>
          <w:p w14:paraId="5DEE807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0.728</w:t>
            </w:r>
          </w:p>
        </w:tc>
        <w:tc>
          <w:tcPr>
            <w:tcW w:w="1134" w:type="dxa"/>
            <w:vAlign w:val="center"/>
          </w:tcPr>
          <w:p w14:paraId="3312622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0.613</w:t>
            </w:r>
          </w:p>
        </w:tc>
        <w:tc>
          <w:tcPr>
            <w:tcW w:w="1040" w:type="dxa"/>
            <w:gridSpan w:val="2"/>
            <w:vAlign w:val="center"/>
          </w:tcPr>
          <w:p w14:paraId="62D0A24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0.734</w:t>
            </w:r>
          </w:p>
        </w:tc>
        <w:tc>
          <w:tcPr>
            <w:tcW w:w="1159" w:type="dxa"/>
            <w:gridSpan w:val="2"/>
            <w:vAlign w:val="center"/>
          </w:tcPr>
          <w:p w14:paraId="3069C1E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0.605</w:t>
            </w:r>
          </w:p>
        </w:tc>
        <w:tc>
          <w:tcPr>
            <w:tcW w:w="880" w:type="dxa"/>
            <w:vAlign w:val="center"/>
          </w:tcPr>
          <w:p w14:paraId="4CCA17B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0.731</w:t>
            </w:r>
          </w:p>
        </w:tc>
        <w:tc>
          <w:tcPr>
            <w:tcW w:w="824" w:type="dxa"/>
            <w:vAlign w:val="center"/>
          </w:tcPr>
          <w:p w14:paraId="045DA1B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0.340</w:t>
            </w:r>
          </w:p>
        </w:tc>
      </w:tr>
      <w:tr w14:paraId="543C83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6FFB979D">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0A5829D9">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32FAA52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447CC92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0.715 (0.674-0.754)</w:t>
            </w:r>
          </w:p>
        </w:tc>
        <w:tc>
          <w:tcPr>
            <w:tcW w:w="1134" w:type="dxa"/>
            <w:vAlign w:val="center"/>
          </w:tcPr>
          <w:p w14:paraId="2C6E37D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0.721</w:t>
            </w:r>
          </w:p>
        </w:tc>
        <w:tc>
          <w:tcPr>
            <w:tcW w:w="1134" w:type="dxa"/>
            <w:vAlign w:val="center"/>
          </w:tcPr>
          <w:p w14:paraId="3DEE1A1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0.706</w:t>
            </w:r>
          </w:p>
        </w:tc>
        <w:tc>
          <w:tcPr>
            <w:tcW w:w="1040" w:type="dxa"/>
            <w:gridSpan w:val="2"/>
            <w:vAlign w:val="center"/>
          </w:tcPr>
          <w:p w14:paraId="09A3D3F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0.796</w:t>
            </w:r>
          </w:p>
        </w:tc>
        <w:tc>
          <w:tcPr>
            <w:tcW w:w="1159" w:type="dxa"/>
            <w:gridSpan w:val="2"/>
            <w:vAlign w:val="center"/>
          </w:tcPr>
          <w:p w14:paraId="3CC329F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0.612</w:t>
            </w:r>
          </w:p>
        </w:tc>
        <w:tc>
          <w:tcPr>
            <w:tcW w:w="880" w:type="dxa"/>
            <w:vAlign w:val="center"/>
          </w:tcPr>
          <w:p w14:paraId="47222D1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0.757</w:t>
            </w:r>
          </w:p>
        </w:tc>
        <w:tc>
          <w:tcPr>
            <w:tcW w:w="824" w:type="dxa"/>
            <w:vAlign w:val="center"/>
          </w:tcPr>
          <w:p w14:paraId="4F584EE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0.414</w:t>
            </w:r>
          </w:p>
        </w:tc>
      </w:tr>
      <w:tr w14:paraId="136201A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616DDDFC">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0553EB52">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7B7A2ED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107F097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0.711 (0.675-0.745)</w:t>
            </w:r>
          </w:p>
        </w:tc>
        <w:tc>
          <w:tcPr>
            <w:tcW w:w="1134" w:type="dxa"/>
            <w:vAlign w:val="center"/>
          </w:tcPr>
          <w:p w14:paraId="497B434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0.759</w:t>
            </w:r>
          </w:p>
        </w:tc>
        <w:tc>
          <w:tcPr>
            <w:tcW w:w="1134" w:type="dxa"/>
            <w:vAlign w:val="center"/>
          </w:tcPr>
          <w:p w14:paraId="76066EF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0.628</w:t>
            </w:r>
          </w:p>
        </w:tc>
        <w:tc>
          <w:tcPr>
            <w:tcW w:w="1040" w:type="dxa"/>
            <w:gridSpan w:val="2"/>
            <w:vAlign w:val="center"/>
          </w:tcPr>
          <w:p w14:paraId="1D021F8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0.780</w:t>
            </w:r>
          </w:p>
        </w:tc>
        <w:tc>
          <w:tcPr>
            <w:tcW w:w="1159" w:type="dxa"/>
            <w:gridSpan w:val="2"/>
            <w:vAlign w:val="center"/>
          </w:tcPr>
          <w:p w14:paraId="5DFF9B8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0.600</w:t>
            </w:r>
          </w:p>
        </w:tc>
        <w:tc>
          <w:tcPr>
            <w:tcW w:w="880" w:type="dxa"/>
            <w:vAlign w:val="center"/>
          </w:tcPr>
          <w:p w14:paraId="57EB6CE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0.769</w:t>
            </w:r>
          </w:p>
        </w:tc>
        <w:tc>
          <w:tcPr>
            <w:tcW w:w="824" w:type="dxa"/>
            <w:vAlign w:val="center"/>
          </w:tcPr>
          <w:p w14:paraId="113610D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0.383</w:t>
            </w:r>
          </w:p>
        </w:tc>
      </w:tr>
      <w:tr w14:paraId="6BF94A8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06C54D3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GNB</w:t>
            </w:r>
          </w:p>
        </w:tc>
        <w:tc>
          <w:tcPr>
            <w:tcW w:w="992" w:type="dxa"/>
            <w:vMerge w:val="restart"/>
            <w:vAlign w:val="center"/>
          </w:tcPr>
          <w:p w14:paraId="60D8D43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0.455</w:t>
            </w:r>
          </w:p>
        </w:tc>
        <w:tc>
          <w:tcPr>
            <w:tcW w:w="1418" w:type="dxa"/>
            <w:vAlign w:val="center"/>
          </w:tcPr>
          <w:p w14:paraId="764748BB">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49479D6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0.686 (0.659-0.712)</w:t>
            </w:r>
          </w:p>
        </w:tc>
        <w:tc>
          <w:tcPr>
            <w:tcW w:w="1134" w:type="dxa"/>
            <w:vAlign w:val="center"/>
          </w:tcPr>
          <w:p w14:paraId="5C56425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0.750</w:t>
            </w:r>
          </w:p>
        </w:tc>
        <w:tc>
          <w:tcPr>
            <w:tcW w:w="1134" w:type="dxa"/>
            <w:vAlign w:val="center"/>
          </w:tcPr>
          <w:p w14:paraId="03F60FF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0.592</w:t>
            </w:r>
          </w:p>
        </w:tc>
        <w:tc>
          <w:tcPr>
            <w:tcW w:w="1040" w:type="dxa"/>
            <w:gridSpan w:val="2"/>
            <w:vAlign w:val="center"/>
          </w:tcPr>
          <w:p w14:paraId="2767041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0.730</w:t>
            </w:r>
          </w:p>
        </w:tc>
        <w:tc>
          <w:tcPr>
            <w:tcW w:w="1159" w:type="dxa"/>
            <w:gridSpan w:val="2"/>
            <w:vAlign w:val="center"/>
          </w:tcPr>
          <w:p w14:paraId="3D89714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0.618</w:t>
            </w:r>
          </w:p>
        </w:tc>
        <w:tc>
          <w:tcPr>
            <w:tcW w:w="880" w:type="dxa"/>
            <w:vAlign w:val="center"/>
          </w:tcPr>
          <w:p w14:paraId="65BB115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0.740</w:t>
            </w:r>
          </w:p>
        </w:tc>
        <w:tc>
          <w:tcPr>
            <w:tcW w:w="824" w:type="dxa"/>
            <w:vAlign w:val="center"/>
          </w:tcPr>
          <w:p w14:paraId="07D84C7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0.344</w:t>
            </w:r>
          </w:p>
        </w:tc>
      </w:tr>
      <w:tr w14:paraId="7645B9D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473618A7">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7D498ED2">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564CC56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6EC3890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0.713 (0.672-0.752)</w:t>
            </w:r>
          </w:p>
        </w:tc>
        <w:tc>
          <w:tcPr>
            <w:tcW w:w="1134" w:type="dxa"/>
            <w:vAlign w:val="center"/>
          </w:tcPr>
          <w:p w14:paraId="4DF26A8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0.724</w:t>
            </w:r>
          </w:p>
        </w:tc>
        <w:tc>
          <w:tcPr>
            <w:tcW w:w="1134" w:type="dxa"/>
            <w:vAlign w:val="center"/>
          </w:tcPr>
          <w:p w14:paraId="3AA8E47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0.695</w:t>
            </w:r>
          </w:p>
        </w:tc>
        <w:tc>
          <w:tcPr>
            <w:tcW w:w="1040" w:type="dxa"/>
            <w:gridSpan w:val="2"/>
            <w:vAlign w:val="center"/>
          </w:tcPr>
          <w:p w14:paraId="34D8449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0.792</w:t>
            </w:r>
          </w:p>
        </w:tc>
        <w:tc>
          <w:tcPr>
            <w:tcW w:w="1159" w:type="dxa"/>
            <w:gridSpan w:val="2"/>
            <w:vAlign w:val="center"/>
          </w:tcPr>
          <w:p w14:paraId="11BAD55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0.612</w:t>
            </w:r>
          </w:p>
        </w:tc>
        <w:tc>
          <w:tcPr>
            <w:tcW w:w="880" w:type="dxa"/>
            <w:vAlign w:val="center"/>
          </w:tcPr>
          <w:p w14:paraId="6CA4EB6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0.756</w:t>
            </w:r>
          </w:p>
        </w:tc>
        <w:tc>
          <w:tcPr>
            <w:tcW w:w="824" w:type="dxa"/>
            <w:vAlign w:val="center"/>
          </w:tcPr>
          <w:p w14:paraId="52F5293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0.409</w:t>
            </w:r>
          </w:p>
        </w:tc>
      </w:tr>
      <w:tr w14:paraId="3E8F10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70249575">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2923EF57">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70015BA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2DA3DFC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0.709 (0.673-0.744)</w:t>
            </w:r>
          </w:p>
        </w:tc>
        <w:tc>
          <w:tcPr>
            <w:tcW w:w="1134" w:type="dxa"/>
            <w:vAlign w:val="center"/>
          </w:tcPr>
          <w:p w14:paraId="0028848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0.747</w:t>
            </w:r>
          </w:p>
        </w:tc>
        <w:tc>
          <w:tcPr>
            <w:tcW w:w="1134" w:type="dxa"/>
            <w:vAlign w:val="center"/>
          </w:tcPr>
          <w:p w14:paraId="61A91F6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0.644</w:t>
            </w:r>
          </w:p>
        </w:tc>
        <w:tc>
          <w:tcPr>
            <w:tcW w:w="1040" w:type="dxa"/>
            <w:gridSpan w:val="2"/>
            <w:vAlign w:val="center"/>
          </w:tcPr>
          <w:p w14:paraId="6EA5230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0.785</w:t>
            </w:r>
          </w:p>
        </w:tc>
        <w:tc>
          <w:tcPr>
            <w:tcW w:w="1159" w:type="dxa"/>
            <w:gridSpan w:val="2"/>
            <w:vAlign w:val="center"/>
          </w:tcPr>
          <w:p w14:paraId="16079AD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0.595</w:t>
            </w:r>
          </w:p>
        </w:tc>
        <w:tc>
          <w:tcPr>
            <w:tcW w:w="880" w:type="dxa"/>
            <w:vAlign w:val="center"/>
          </w:tcPr>
          <w:p w14:paraId="280FEDC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0.765</w:t>
            </w:r>
          </w:p>
        </w:tc>
        <w:tc>
          <w:tcPr>
            <w:tcW w:w="824" w:type="dxa"/>
            <w:vAlign w:val="center"/>
          </w:tcPr>
          <w:p w14:paraId="57A1C0C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0.385</w:t>
            </w:r>
          </w:p>
        </w:tc>
      </w:tr>
      <w:tr w14:paraId="490DD44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5A8FB11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KNN</w:t>
            </w:r>
          </w:p>
        </w:tc>
        <w:tc>
          <w:tcPr>
            <w:tcW w:w="992" w:type="dxa"/>
            <w:vMerge w:val="restart"/>
            <w:vAlign w:val="center"/>
          </w:tcPr>
          <w:p w14:paraId="5D55C97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0.679</w:t>
            </w:r>
          </w:p>
        </w:tc>
        <w:tc>
          <w:tcPr>
            <w:tcW w:w="1418" w:type="dxa"/>
            <w:vAlign w:val="center"/>
          </w:tcPr>
          <w:p w14:paraId="3D2EC9E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28C6D6C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0.543 (0.515-0.572)</w:t>
            </w:r>
          </w:p>
        </w:tc>
        <w:tc>
          <w:tcPr>
            <w:tcW w:w="1134" w:type="dxa"/>
            <w:vAlign w:val="center"/>
          </w:tcPr>
          <w:p w14:paraId="2BD8E62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0.492</w:t>
            </w:r>
          </w:p>
        </w:tc>
        <w:tc>
          <w:tcPr>
            <w:tcW w:w="1134" w:type="dxa"/>
            <w:vAlign w:val="center"/>
          </w:tcPr>
          <w:p w14:paraId="1E59344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0.619</w:t>
            </w:r>
          </w:p>
        </w:tc>
        <w:tc>
          <w:tcPr>
            <w:tcW w:w="1040" w:type="dxa"/>
            <w:gridSpan w:val="2"/>
            <w:vAlign w:val="center"/>
          </w:tcPr>
          <w:p w14:paraId="3E3BB65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0.654</w:t>
            </w:r>
          </w:p>
        </w:tc>
        <w:tc>
          <w:tcPr>
            <w:tcW w:w="1159" w:type="dxa"/>
            <w:gridSpan w:val="2"/>
            <w:vAlign w:val="center"/>
          </w:tcPr>
          <w:p w14:paraId="3BB288D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0.453</w:t>
            </w:r>
          </w:p>
        </w:tc>
        <w:tc>
          <w:tcPr>
            <w:tcW w:w="880" w:type="dxa"/>
            <w:vAlign w:val="center"/>
          </w:tcPr>
          <w:p w14:paraId="042AB02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0.561</w:t>
            </w:r>
          </w:p>
        </w:tc>
        <w:tc>
          <w:tcPr>
            <w:tcW w:w="824" w:type="dxa"/>
            <w:vAlign w:val="center"/>
          </w:tcPr>
          <w:p w14:paraId="655DD7E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0.104</w:t>
            </w:r>
          </w:p>
        </w:tc>
      </w:tr>
      <w:tr w14:paraId="5149178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45D64A00">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731E5144">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4F16777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0429747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0.527 (0.483-0.571)</w:t>
            </w:r>
          </w:p>
        </w:tc>
        <w:tc>
          <w:tcPr>
            <w:tcW w:w="1134" w:type="dxa"/>
            <w:vAlign w:val="center"/>
          </w:tcPr>
          <w:p w14:paraId="3114E5C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0.476</w:t>
            </w:r>
          </w:p>
        </w:tc>
        <w:tc>
          <w:tcPr>
            <w:tcW w:w="1134" w:type="dxa"/>
            <w:vAlign w:val="center"/>
          </w:tcPr>
          <w:p w14:paraId="1C8051C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0.609</w:t>
            </w:r>
          </w:p>
        </w:tc>
        <w:tc>
          <w:tcPr>
            <w:tcW w:w="1040" w:type="dxa"/>
            <w:gridSpan w:val="2"/>
            <w:vAlign w:val="center"/>
          </w:tcPr>
          <w:p w14:paraId="19AFAEF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0.661</w:t>
            </w:r>
          </w:p>
        </w:tc>
        <w:tc>
          <w:tcPr>
            <w:tcW w:w="1159" w:type="dxa"/>
            <w:gridSpan w:val="2"/>
            <w:vAlign w:val="center"/>
          </w:tcPr>
          <w:p w14:paraId="44DD452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0.421</w:t>
            </w:r>
          </w:p>
        </w:tc>
        <w:tc>
          <w:tcPr>
            <w:tcW w:w="880" w:type="dxa"/>
            <w:vAlign w:val="center"/>
          </w:tcPr>
          <w:p w14:paraId="593254A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0.554</w:t>
            </w:r>
          </w:p>
        </w:tc>
        <w:tc>
          <w:tcPr>
            <w:tcW w:w="824" w:type="dxa"/>
            <w:vAlign w:val="center"/>
          </w:tcPr>
          <w:p w14:paraId="0510148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0.079</w:t>
            </w:r>
          </w:p>
        </w:tc>
      </w:tr>
      <w:tr w14:paraId="10B82B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112BA25C">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44E14175">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028C835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7EF656D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0.517 (0.478-0.556)</w:t>
            </w:r>
          </w:p>
        </w:tc>
        <w:tc>
          <w:tcPr>
            <w:tcW w:w="1134" w:type="dxa"/>
            <w:vAlign w:val="center"/>
          </w:tcPr>
          <w:p w14:paraId="11E4C2C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0.422</w:t>
            </w:r>
          </w:p>
        </w:tc>
        <w:tc>
          <w:tcPr>
            <w:tcW w:w="1134" w:type="dxa"/>
            <w:vAlign w:val="center"/>
          </w:tcPr>
          <w:p w14:paraId="234417A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0.682</w:t>
            </w:r>
          </w:p>
        </w:tc>
        <w:tc>
          <w:tcPr>
            <w:tcW w:w="1040" w:type="dxa"/>
            <w:gridSpan w:val="2"/>
            <w:vAlign w:val="center"/>
          </w:tcPr>
          <w:p w14:paraId="2954B7B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0.697</w:t>
            </w:r>
          </w:p>
        </w:tc>
        <w:tc>
          <w:tcPr>
            <w:tcW w:w="1159" w:type="dxa"/>
            <w:gridSpan w:val="2"/>
            <w:vAlign w:val="center"/>
          </w:tcPr>
          <w:p w14:paraId="1965647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0.404</w:t>
            </w:r>
          </w:p>
        </w:tc>
        <w:tc>
          <w:tcPr>
            <w:tcW w:w="880" w:type="dxa"/>
            <w:vAlign w:val="center"/>
          </w:tcPr>
          <w:p w14:paraId="7D4BCAF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0.526</w:t>
            </w:r>
          </w:p>
        </w:tc>
        <w:tc>
          <w:tcPr>
            <w:tcW w:w="824" w:type="dxa"/>
            <w:vAlign w:val="center"/>
          </w:tcPr>
          <w:p w14:paraId="68A96C9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0.091</w:t>
            </w:r>
          </w:p>
        </w:tc>
      </w:tr>
      <w:tr w14:paraId="44C9658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3EB4368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AdaBoost</w:t>
            </w:r>
          </w:p>
        </w:tc>
        <w:tc>
          <w:tcPr>
            <w:tcW w:w="992" w:type="dxa"/>
            <w:vMerge w:val="restart"/>
            <w:vAlign w:val="center"/>
          </w:tcPr>
          <w:p w14:paraId="719F8F3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0.629</w:t>
            </w:r>
          </w:p>
        </w:tc>
        <w:tc>
          <w:tcPr>
            <w:tcW w:w="1418" w:type="dxa"/>
            <w:vAlign w:val="center"/>
          </w:tcPr>
          <w:p w14:paraId="349C845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574785E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0.660 (0.633-0.687)</w:t>
            </w:r>
          </w:p>
        </w:tc>
        <w:tc>
          <w:tcPr>
            <w:tcW w:w="1134" w:type="dxa"/>
            <w:vAlign w:val="center"/>
          </w:tcPr>
          <w:p w14:paraId="132CAFB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0.637</w:t>
            </w:r>
          </w:p>
        </w:tc>
        <w:tc>
          <w:tcPr>
            <w:tcW w:w="1134" w:type="dxa"/>
            <w:vAlign w:val="center"/>
          </w:tcPr>
          <w:p w14:paraId="3EE70B2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0.695</w:t>
            </w:r>
          </w:p>
        </w:tc>
        <w:tc>
          <w:tcPr>
            <w:tcW w:w="1040" w:type="dxa"/>
            <w:gridSpan w:val="2"/>
            <w:vAlign w:val="center"/>
          </w:tcPr>
          <w:p w14:paraId="75E49D4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0.754</w:t>
            </w:r>
          </w:p>
        </w:tc>
        <w:tc>
          <w:tcPr>
            <w:tcW w:w="1159" w:type="dxa"/>
            <w:gridSpan w:val="2"/>
            <w:vAlign w:val="center"/>
          </w:tcPr>
          <w:p w14:paraId="04441BE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0.566</w:t>
            </w:r>
          </w:p>
        </w:tc>
        <w:tc>
          <w:tcPr>
            <w:tcW w:w="880" w:type="dxa"/>
            <w:vAlign w:val="center"/>
          </w:tcPr>
          <w:p w14:paraId="155E7FB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0.690</w:t>
            </w:r>
          </w:p>
        </w:tc>
        <w:tc>
          <w:tcPr>
            <w:tcW w:w="824" w:type="dxa"/>
            <w:vAlign w:val="center"/>
          </w:tcPr>
          <w:p w14:paraId="02ADE0F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0.320</w:t>
            </w:r>
          </w:p>
        </w:tc>
      </w:tr>
      <w:tr w14:paraId="17A8F5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14F235B6">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7CC9680C">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15ADA8F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538CAFF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0.699 (0.657-0.739)</w:t>
            </w:r>
          </w:p>
        </w:tc>
        <w:tc>
          <w:tcPr>
            <w:tcW w:w="1134" w:type="dxa"/>
            <w:vAlign w:val="center"/>
          </w:tcPr>
          <w:p w14:paraId="7D120EF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0.651</w:t>
            </w:r>
          </w:p>
        </w:tc>
        <w:tc>
          <w:tcPr>
            <w:tcW w:w="1134" w:type="dxa"/>
            <w:vAlign w:val="center"/>
          </w:tcPr>
          <w:p w14:paraId="5894CE3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0.777</w:t>
            </w:r>
          </w:p>
        </w:tc>
        <w:tc>
          <w:tcPr>
            <w:tcW w:w="1040" w:type="dxa"/>
            <w:gridSpan w:val="2"/>
            <w:vAlign w:val="center"/>
          </w:tcPr>
          <w:p w14:paraId="3FC40EDB">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0.823</w:t>
            </w:r>
          </w:p>
        </w:tc>
        <w:tc>
          <w:tcPr>
            <w:tcW w:w="1159" w:type="dxa"/>
            <w:gridSpan w:val="2"/>
            <w:vAlign w:val="center"/>
          </w:tcPr>
          <w:p w14:paraId="618EE38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0.582</w:t>
            </w:r>
          </w:p>
        </w:tc>
        <w:tc>
          <w:tcPr>
            <w:tcW w:w="880" w:type="dxa"/>
            <w:vAlign w:val="center"/>
          </w:tcPr>
          <w:p w14:paraId="4E9F458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0.727</w:t>
            </w:r>
          </w:p>
        </w:tc>
        <w:tc>
          <w:tcPr>
            <w:tcW w:w="824" w:type="dxa"/>
            <w:vAlign w:val="center"/>
          </w:tcPr>
          <w:p w14:paraId="1816DEB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0.402</w:t>
            </w:r>
          </w:p>
        </w:tc>
      </w:tr>
      <w:tr w14:paraId="786BE8C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3A6C6287">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77CBA74E">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13BF850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4D799E7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0.662 (0.624-0.698)</w:t>
            </w:r>
          </w:p>
        </w:tc>
        <w:tc>
          <w:tcPr>
            <w:tcW w:w="1134" w:type="dxa"/>
            <w:vAlign w:val="center"/>
          </w:tcPr>
          <w:p w14:paraId="141BB46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0.631</w:t>
            </w:r>
          </w:p>
        </w:tc>
        <w:tc>
          <w:tcPr>
            <w:tcW w:w="1134" w:type="dxa"/>
            <w:vAlign w:val="center"/>
          </w:tcPr>
          <w:p w14:paraId="411857A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0.715</w:t>
            </w:r>
          </w:p>
        </w:tc>
        <w:tc>
          <w:tcPr>
            <w:tcW w:w="1040" w:type="dxa"/>
            <w:gridSpan w:val="2"/>
            <w:vAlign w:val="center"/>
          </w:tcPr>
          <w:p w14:paraId="7BF22D5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0.794</w:t>
            </w:r>
          </w:p>
        </w:tc>
        <w:tc>
          <w:tcPr>
            <w:tcW w:w="1159" w:type="dxa"/>
            <w:gridSpan w:val="2"/>
            <w:vAlign w:val="center"/>
          </w:tcPr>
          <w:p w14:paraId="594F1CC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0.528</w:t>
            </w:r>
          </w:p>
        </w:tc>
        <w:tc>
          <w:tcPr>
            <w:tcW w:w="880" w:type="dxa"/>
            <w:vAlign w:val="center"/>
          </w:tcPr>
          <w:p w14:paraId="5167F9B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0.703</w:t>
            </w:r>
          </w:p>
        </w:tc>
        <w:tc>
          <w:tcPr>
            <w:tcW w:w="824" w:type="dxa"/>
            <w:vAlign w:val="center"/>
          </w:tcPr>
          <w:p w14:paraId="31885BC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0.322</w:t>
            </w:r>
          </w:p>
        </w:tc>
      </w:tr>
      <w:tr w14:paraId="4941C2A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2BEF011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XGBoost</w:t>
            </w:r>
          </w:p>
        </w:tc>
        <w:tc>
          <w:tcPr>
            <w:tcW w:w="992" w:type="dxa"/>
            <w:vMerge w:val="restart"/>
            <w:vAlign w:val="center"/>
          </w:tcPr>
          <w:p w14:paraId="3FD02CAB">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0.546</w:t>
            </w:r>
          </w:p>
        </w:tc>
        <w:tc>
          <w:tcPr>
            <w:tcW w:w="1418" w:type="dxa"/>
            <w:vAlign w:val="center"/>
          </w:tcPr>
          <w:p w14:paraId="08ED1D7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32AED65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0.680 (0.653-0.707)</w:t>
            </w:r>
          </w:p>
        </w:tc>
        <w:tc>
          <w:tcPr>
            <w:tcW w:w="1134" w:type="dxa"/>
            <w:vAlign w:val="center"/>
          </w:tcPr>
          <w:p w14:paraId="2601D87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0.750</w:t>
            </w:r>
          </w:p>
        </w:tc>
        <w:tc>
          <w:tcPr>
            <w:tcW w:w="1134" w:type="dxa"/>
            <w:vAlign w:val="center"/>
          </w:tcPr>
          <w:p w14:paraId="5E4AE39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0.578</w:t>
            </w:r>
          </w:p>
        </w:tc>
        <w:tc>
          <w:tcPr>
            <w:tcW w:w="1040" w:type="dxa"/>
            <w:gridSpan w:val="2"/>
            <w:vAlign w:val="center"/>
          </w:tcPr>
          <w:p w14:paraId="7C7BB29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0.723</w:t>
            </w:r>
          </w:p>
        </w:tc>
        <w:tc>
          <w:tcPr>
            <w:tcW w:w="1159" w:type="dxa"/>
            <w:gridSpan w:val="2"/>
            <w:vAlign w:val="center"/>
          </w:tcPr>
          <w:p w14:paraId="4ABE9E6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0.612</w:t>
            </w:r>
          </w:p>
        </w:tc>
        <w:tc>
          <w:tcPr>
            <w:tcW w:w="880" w:type="dxa"/>
            <w:vAlign w:val="center"/>
          </w:tcPr>
          <w:p w14:paraId="46EFA4A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0.736</w:t>
            </w:r>
          </w:p>
        </w:tc>
        <w:tc>
          <w:tcPr>
            <w:tcW w:w="824" w:type="dxa"/>
            <w:vAlign w:val="center"/>
          </w:tcPr>
          <w:p w14:paraId="0817F0E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0.331</w:t>
            </w:r>
          </w:p>
        </w:tc>
      </w:tr>
      <w:tr w14:paraId="4503B64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7836AF97">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3F2C281A">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0876C6E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26BE57F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0.717 (0.676-0.755)</w:t>
            </w:r>
          </w:p>
        </w:tc>
        <w:tc>
          <w:tcPr>
            <w:tcW w:w="1134" w:type="dxa"/>
            <w:vAlign w:val="center"/>
          </w:tcPr>
          <w:p w14:paraId="73D6A0E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0.746</w:t>
            </w:r>
          </w:p>
        </w:tc>
        <w:tc>
          <w:tcPr>
            <w:tcW w:w="1134" w:type="dxa"/>
            <w:vAlign w:val="center"/>
          </w:tcPr>
          <w:p w14:paraId="3A07718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0.670</w:t>
            </w:r>
          </w:p>
        </w:tc>
        <w:tc>
          <w:tcPr>
            <w:tcW w:w="1040" w:type="dxa"/>
            <w:gridSpan w:val="2"/>
            <w:vAlign w:val="center"/>
          </w:tcPr>
          <w:p w14:paraId="61B41B3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0.783</w:t>
            </w:r>
          </w:p>
        </w:tc>
        <w:tc>
          <w:tcPr>
            <w:tcW w:w="1159" w:type="dxa"/>
            <w:gridSpan w:val="2"/>
            <w:vAlign w:val="center"/>
          </w:tcPr>
          <w:p w14:paraId="025A4A1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0.623</w:t>
            </w:r>
          </w:p>
        </w:tc>
        <w:tc>
          <w:tcPr>
            <w:tcW w:w="880" w:type="dxa"/>
            <w:vAlign w:val="center"/>
          </w:tcPr>
          <w:p w14:paraId="48BA0C0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0.764</w:t>
            </w:r>
          </w:p>
        </w:tc>
        <w:tc>
          <w:tcPr>
            <w:tcW w:w="824" w:type="dxa"/>
            <w:vAlign w:val="center"/>
          </w:tcPr>
          <w:p w14:paraId="2AE9AC3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0.410</w:t>
            </w:r>
          </w:p>
        </w:tc>
      </w:tr>
      <w:tr w14:paraId="22C9DAF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5A4A335F">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68DA992A">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5248564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1286EA5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0.717 (0.681-0.751)</w:t>
            </w:r>
          </w:p>
        </w:tc>
        <w:tc>
          <w:tcPr>
            <w:tcW w:w="1134" w:type="dxa"/>
            <w:vAlign w:val="center"/>
          </w:tcPr>
          <w:p w14:paraId="332E638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0.790</w:t>
            </w:r>
          </w:p>
        </w:tc>
        <w:tc>
          <w:tcPr>
            <w:tcW w:w="1134" w:type="dxa"/>
            <w:vAlign w:val="center"/>
          </w:tcPr>
          <w:p w14:paraId="084773D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0.590</w:t>
            </w:r>
          </w:p>
        </w:tc>
        <w:tc>
          <w:tcPr>
            <w:tcW w:w="1040" w:type="dxa"/>
            <w:gridSpan w:val="2"/>
            <w:vAlign w:val="center"/>
          </w:tcPr>
          <w:p w14:paraId="39243C4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0.770</w:t>
            </w:r>
          </w:p>
        </w:tc>
        <w:tc>
          <w:tcPr>
            <w:tcW w:w="1159" w:type="dxa"/>
            <w:gridSpan w:val="2"/>
            <w:vAlign w:val="center"/>
          </w:tcPr>
          <w:p w14:paraId="486A5F8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0.618</w:t>
            </w:r>
          </w:p>
        </w:tc>
        <w:tc>
          <w:tcPr>
            <w:tcW w:w="880" w:type="dxa"/>
            <w:vAlign w:val="center"/>
          </w:tcPr>
          <w:p w14:paraId="1F8F2CB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0.780</w:t>
            </w:r>
          </w:p>
        </w:tc>
        <w:tc>
          <w:tcPr>
            <w:tcW w:w="824" w:type="dxa"/>
            <w:vAlign w:val="center"/>
          </w:tcPr>
          <w:p w14:paraId="4D2F5A0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0.384</w:t>
            </w:r>
          </w:p>
        </w:tc>
      </w:tr>
      <w:tr w14:paraId="428C656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1B05896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SVM</w:t>
            </w:r>
          </w:p>
        </w:tc>
        <w:tc>
          <w:tcPr>
            <w:tcW w:w="992" w:type="dxa"/>
            <w:vMerge w:val="restart"/>
            <w:vAlign w:val="center"/>
          </w:tcPr>
          <w:p w14:paraId="59BBDFE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0.62</w:t>
            </w:r>
          </w:p>
        </w:tc>
        <w:tc>
          <w:tcPr>
            <w:tcW w:w="1418" w:type="dxa"/>
            <w:vAlign w:val="center"/>
          </w:tcPr>
          <w:p w14:paraId="78EBFA5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09E400D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0.667 (0.640-0.694)</w:t>
            </w:r>
          </w:p>
        </w:tc>
        <w:tc>
          <w:tcPr>
            <w:tcW w:w="1134" w:type="dxa"/>
            <w:vAlign w:val="center"/>
          </w:tcPr>
          <w:p w14:paraId="12A0F92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0.672</w:t>
            </w:r>
          </w:p>
        </w:tc>
        <w:tc>
          <w:tcPr>
            <w:tcW w:w="1134" w:type="dxa"/>
            <w:vAlign w:val="center"/>
          </w:tcPr>
          <w:p w14:paraId="2061A57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0.660</w:t>
            </w:r>
          </w:p>
        </w:tc>
        <w:tc>
          <w:tcPr>
            <w:tcW w:w="1040" w:type="dxa"/>
            <w:gridSpan w:val="2"/>
            <w:vAlign w:val="center"/>
          </w:tcPr>
          <w:p w14:paraId="35AF8D1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0.743</w:t>
            </w:r>
          </w:p>
        </w:tc>
        <w:tc>
          <w:tcPr>
            <w:tcW w:w="1159" w:type="dxa"/>
            <w:gridSpan w:val="2"/>
            <w:vAlign w:val="center"/>
          </w:tcPr>
          <w:p w14:paraId="03EEA3F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0.578</w:t>
            </w:r>
          </w:p>
        </w:tc>
        <w:tc>
          <w:tcPr>
            <w:tcW w:w="880" w:type="dxa"/>
            <w:vAlign w:val="center"/>
          </w:tcPr>
          <w:p w14:paraId="2FFF0EC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0.706</w:t>
            </w:r>
          </w:p>
        </w:tc>
        <w:tc>
          <w:tcPr>
            <w:tcW w:w="824" w:type="dxa"/>
            <w:vAlign w:val="center"/>
          </w:tcPr>
          <w:p w14:paraId="1CE0DA6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0.324</w:t>
            </w:r>
          </w:p>
        </w:tc>
      </w:tr>
      <w:tr w14:paraId="5F76EE4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58924044">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108D0F36">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71BB1A2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62D7E55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0.711 (0.670-0.75)</w:t>
            </w:r>
          </w:p>
        </w:tc>
        <w:tc>
          <w:tcPr>
            <w:tcW w:w="1134" w:type="dxa"/>
            <w:vAlign w:val="center"/>
          </w:tcPr>
          <w:p w14:paraId="29C76D1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0.683</w:t>
            </w:r>
          </w:p>
        </w:tc>
        <w:tc>
          <w:tcPr>
            <w:tcW w:w="1134" w:type="dxa"/>
            <w:vAlign w:val="center"/>
          </w:tcPr>
          <w:p w14:paraId="0FF8A6C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0.756</w:t>
            </w:r>
          </w:p>
        </w:tc>
        <w:tc>
          <w:tcPr>
            <w:tcW w:w="1040" w:type="dxa"/>
            <w:gridSpan w:val="2"/>
            <w:vAlign w:val="center"/>
          </w:tcPr>
          <w:p w14:paraId="0C2B918B">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0.817</w:t>
            </w:r>
          </w:p>
        </w:tc>
        <w:tc>
          <w:tcPr>
            <w:tcW w:w="1159" w:type="dxa"/>
            <w:gridSpan w:val="2"/>
            <w:vAlign w:val="center"/>
          </w:tcPr>
          <w:p w14:paraId="05A230A6">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0.598</w:t>
            </w:r>
          </w:p>
        </w:tc>
        <w:tc>
          <w:tcPr>
            <w:tcW w:w="880" w:type="dxa"/>
            <w:vAlign w:val="center"/>
          </w:tcPr>
          <w:p w14:paraId="1AF55E4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0.744</w:t>
            </w:r>
          </w:p>
        </w:tc>
        <w:tc>
          <w:tcPr>
            <w:tcW w:w="824" w:type="dxa"/>
            <w:vAlign w:val="center"/>
          </w:tcPr>
          <w:p w14:paraId="1CD3B9C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0.418</w:t>
            </w:r>
          </w:p>
        </w:tc>
      </w:tr>
      <w:tr w14:paraId="6246595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127E71BB">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1796FBFD">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4C80D06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73FA00A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0.694 (0.657-0.729)</w:t>
            </w:r>
          </w:p>
        </w:tc>
        <w:tc>
          <w:tcPr>
            <w:tcW w:w="1134" w:type="dxa"/>
            <w:vAlign w:val="center"/>
          </w:tcPr>
          <w:p w14:paraId="739AF7F5">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0.704</w:t>
            </w:r>
          </w:p>
        </w:tc>
        <w:tc>
          <w:tcPr>
            <w:tcW w:w="1134" w:type="dxa"/>
            <w:vAlign w:val="center"/>
          </w:tcPr>
          <w:p w14:paraId="0FA2529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0.678</w:t>
            </w:r>
          </w:p>
        </w:tc>
        <w:tc>
          <w:tcPr>
            <w:tcW w:w="1040" w:type="dxa"/>
            <w:gridSpan w:val="2"/>
            <w:vAlign w:val="center"/>
          </w:tcPr>
          <w:p w14:paraId="5CE68F1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0.791</w:t>
            </w:r>
          </w:p>
        </w:tc>
        <w:tc>
          <w:tcPr>
            <w:tcW w:w="1159" w:type="dxa"/>
            <w:gridSpan w:val="2"/>
            <w:vAlign w:val="center"/>
          </w:tcPr>
          <w:p w14:paraId="548C6B29">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0.568</w:t>
            </w:r>
          </w:p>
        </w:tc>
        <w:tc>
          <w:tcPr>
            <w:tcW w:w="880" w:type="dxa"/>
            <w:vAlign w:val="center"/>
          </w:tcPr>
          <w:p w14:paraId="06AB7AD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0.745</w:t>
            </w:r>
          </w:p>
        </w:tc>
        <w:tc>
          <w:tcPr>
            <w:tcW w:w="824" w:type="dxa"/>
            <w:vAlign w:val="center"/>
          </w:tcPr>
          <w:p w14:paraId="1168DE9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0.366</w:t>
            </w:r>
          </w:p>
        </w:tc>
      </w:tr>
      <w:tr w14:paraId="32A8B5C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restart"/>
            <w:vAlign w:val="center"/>
          </w:tcPr>
          <w:p w14:paraId="045E16D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Nnet</w:t>
            </w:r>
          </w:p>
        </w:tc>
        <w:tc>
          <w:tcPr>
            <w:tcW w:w="992" w:type="dxa"/>
            <w:vMerge w:val="restart"/>
            <w:vAlign w:val="center"/>
          </w:tcPr>
          <w:p w14:paraId="1EF73C8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0.607</w:t>
            </w:r>
          </w:p>
        </w:tc>
        <w:tc>
          <w:tcPr>
            <w:tcW w:w="1418" w:type="dxa"/>
            <w:vAlign w:val="center"/>
          </w:tcPr>
          <w:p w14:paraId="09AC390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Training set</w:t>
            </w:r>
          </w:p>
        </w:tc>
        <w:tc>
          <w:tcPr>
            <w:tcW w:w="1559" w:type="dxa"/>
            <w:vAlign w:val="center"/>
          </w:tcPr>
          <w:p w14:paraId="72E90B3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0.670 (0.643-0.697)</w:t>
            </w:r>
          </w:p>
        </w:tc>
        <w:tc>
          <w:tcPr>
            <w:tcW w:w="1134" w:type="dxa"/>
            <w:vAlign w:val="center"/>
          </w:tcPr>
          <w:p w14:paraId="2C62F84C">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0.670</w:t>
            </w:r>
          </w:p>
        </w:tc>
        <w:tc>
          <w:tcPr>
            <w:tcW w:w="1134" w:type="dxa"/>
            <w:vAlign w:val="center"/>
          </w:tcPr>
          <w:p w14:paraId="2D7430C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0.670</w:t>
            </w:r>
          </w:p>
        </w:tc>
        <w:tc>
          <w:tcPr>
            <w:tcW w:w="1040" w:type="dxa"/>
            <w:gridSpan w:val="2"/>
            <w:vAlign w:val="center"/>
          </w:tcPr>
          <w:p w14:paraId="75AF8328">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0.749</w:t>
            </w:r>
          </w:p>
        </w:tc>
        <w:tc>
          <w:tcPr>
            <w:tcW w:w="1159" w:type="dxa"/>
            <w:gridSpan w:val="2"/>
            <w:vAlign w:val="center"/>
          </w:tcPr>
          <w:p w14:paraId="53F37FC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0.581</w:t>
            </w:r>
          </w:p>
        </w:tc>
        <w:tc>
          <w:tcPr>
            <w:tcW w:w="880" w:type="dxa"/>
            <w:vAlign w:val="center"/>
          </w:tcPr>
          <w:p w14:paraId="487A51CA">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0.707</w:t>
            </w:r>
          </w:p>
        </w:tc>
        <w:tc>
          <w:tcPr>
            <w:tcW w:w="824" w:type="dxa"/>
            <w:vAlign w:val="center"/>
          </w:tcPr>
          <w:p w14:paraId="7E637C23">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0.332</w:t>
            </w:r>
          </w:p>
        </w:tc>
      </w:tr>
      <w:tr w14:paraId="2498507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5A602799">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0BB62961">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1127AD8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Validation set</w:t>
            </w:r>
          </w:p>
        </w:tc>
        <w:tc>
          <w:tcPr>
            <w:tcW w:w="1559" w:type="dxa"/>
            <w:vAlign w:val="center"/>
          </w:tcPr>
          <w:p w14:paraId="235D3B6F">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0.715 (0.674-0.754)</w:t>
            </w:r>
          </w:p>
        </w:tc>
        <w:tc>
          <w:tcPr>
            <w:tcW w:w="1134" w:type="dxa"/>
            <w:vAlign w:val="center"/>
          </w:tcPr>
          <w:p w14:paraId="2FC20C67">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0.695</w:t>
            </w:r>
          </w:p>
        </w:tc>
        <w:tc>
          <w:tcPr>
            <w:tcW w:w="1134" w:type="dxa"/>
            <w:vAlign w:val="center"/>
          </w:tcPr>
          <w:p w14:paraId="7928C1F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0.746</w:t>
            </w:r>
          </w:p>
        </w:tc>
        <w:tc>
          <w:tcPr>
            <w:tcW w:w="1040" w:type="dxa"/>
            <w:gridSpan w:val="2"/>
            <w:vAlign w:val="center"/>
          </w:tcPr>
          <w:p w14:paraId="5C9DFCF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0.814</w:t>
            </w:r>
          </w:p>
        </w:tc>
        <w:tc>
          <w:tcPr>
            <w:tcW w:w="1159" w:type="dxa"/>
            <w:gridSpan w:val="2"/>
            <w:vAlign w:val="center"/>
          </w:tcPr>
          <w:p w14:paraId="518B062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0.605</w:t>
            </w:r>
          </w:p>
        </w:tc>
        <w:tc>
          <w:tcPr>
            <w:tcW w:w="880" w:type="dxa"/>
            <w:vAlign w:val="center"/>
          </w:tcPr>
          <w:p w14:paraId="5C635F62">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0.750</w:t>
            </w:r>
          </w:p>
        </w:tc>
        <w:tc>
          <w:tcPr>
            <w:tcW w:w="824" w:type="dxa"/>
            <w:vAlign w:val="center"/>
          </w:tcPr>
          <w:p w14:paraId="71251AB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0.423</w:t>
            </w:r>
          </w:p>
        </w:tc>
      </w:tr>
      <w:tr w14:paraId="09F7673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276" w:type="dxa"/>
            <w:vMerge w:val="continue"/>
            <w:vAlign w:val="center"/>
          </w:tcPr>
          <w:p w14:paraId="39ED79E5">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992" w:type="dxa"/>
            <w:vMerge w:val="continue"/>
            <w:vAlign w:val="center"/>
          </w:tcPr>
          <w:p w14:paraId="63AB87F8">
            <w:pPr>
              <w:widowControl w:val="0"/>
              <w:autoSpaceDE w:val="0"/>
              <w:autoSpaceDN w:val="0"/>
              <w:adjustRightInd w:val="0"/>
              <w:jc w:val="center"/>
              <w:rPr>
                <w:rFonts w:ascii="Times New Roman" w:hAnsi="Times New Roman" w:eastAsia="宋体" w:cs="Times New Roman"/>
                <w:color w:val="auto"/>
                <w:sz w:val="20"/>
                <w:szCs w:val="20"/>
                <w:lang w:eastAsia="zh-CN"/>
              </w:rPr>
            </w:pPr>
          </w:p>
        </w:tc>
        <w:tc>
          <w:tcPr>
            <w:tcW w:w="1418" w:type="dxa"/>
            <w:vAlign w:val="center"/>
          </w:tcPr>
          <w:p w14:paraId="01D341ED">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Test set</w:t>
            </w:r>
          </w:p>
        </w:tc>
        <w:tc>
          <w:tcPr>
            <w:tcW w:w="1559" w:type="dxa"/>
            <w:vAlign w:val="center"/>
          </w:tcPr>
          <w:p w14:paraId="032BEF0E">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0.697 (0.606-0.732)</w:t>
            </w:r>
          </w:p>
        </w:tc>
        <w:tc>
          <w:tcPr>
            <w:tcW w:w="1134" w:type="dxa"/>
            <w:vAlign w:val="center"/>
          </w:tcPr>
          <w:p w14:paraId="6BB740E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0.704</w:t>
            </w:r>
          </w:p>
        </w:tc>
        <w:tc>
          <w:tcPr>
            <w:tcW w:w="1134" w:type="dxa"/>
            <w:vAlign w:val="center"/>
          </w:tcPr>
          <w:p w14:paraId="4980A0F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0.686</w:t>
            </w:r>
          </w:p>
        </w:tc>
        <w:tc>
          <w:tcPr>
            <w:tcW w:w="1040" w:type="dxa"/>
            <w:gridSpan w:val="2"/>
            <w:vAlign w:val="center"/>
          </w:tcPr>
          <w:p w14:paraId="41E85EB0">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0.796</w:t>
            </w:r>
          </w:p>
        </w:tc>
        <w:tc>
          <w:tcPr>
            <w:tcW w:w="1159" w:type="dxa"/>
            <w:gridSpan w:val="2"/>
            <w:vAlign w:val="center"/>
          </w:tcPr>
          <w:p w14:paraId="6C1F5B9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0.571</w:t>
            </w:r>
          </w:p>
        </w:tc>
        <w:tc>
          <w:tcPr>
            <w:tcW w:w="880" w:type="dxa"/>
            <w:vAlign w:val="center"/>
          </w:tcPr>
          <w:p w14:paraId="07004B44">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0.747</w:t>
            </w:r>
          </w:p>
        </w:tc>
        <w:tc>
          <w:tcPr>
            <w:tcW w:w="824" w:type="dxa"/>
            <w:vAlign w:val="center"/>
          </w:tcPr>
          <w:p w14:paraId="2D5E2951">
            <w:pPr>
              <w:widowControl w:val="0"/>
              <w:autoSpaceDE w:val="0"/>
              <w:autoSpaceDN w:val="0"/>
              <w:adjustRightInd w:val="0"/>
              <w:jc w:val="center"/>
              <w:rPr>
                <w:rFonts w:ascii="Times New Roman" w:hAnsi="Times New Roman" w:eastAsia="宋体" w:cs="Times New Roman"/>
                <w:color w:val="auto"/>
                <w:sz w:val="20"/>
                <w:szCs w:val="20"/>
                <w:lang w:eastAsia="zh-CN"/>
              </w:rPr>
            </w:pPr>
            <w:r>
              <w:rPr>
                <w:rFonts w:ascii="Times New Roman" w:hAnsi="Times New Roman" w:eastAsia="宋体" w:cs="Times New Roman"/>
                <w:color w:val="auto"/>
                <w:sz w:val="20"/>
                <w:szCs w:val="20"/>
                <w:lang w:eastAsia="zh-CN"/>
              </w:rPr>
              <w:t>0.374</w:t>
            </w:r>
          </w:p>
        </w:tc>
      </w:tr>
    </w:tbl>
    <w:p w14:paraId="044EEFF2">
      <w:pPr>
        <w:jc w:val="both"/>
        <w:rPr>
          <w:rFonts w:ascii="Times New Roman" w:hAnsi="Times New Roman" w:eastAsia="宋体" w:cs="Times New Roman"/>
          <w:color w:val="auto"/>
          <w:kern w:val="2"/>
          <w:szCs w:val="30"/>
          <w:lang w:eastAsia="zh-CN"/>
        </w:rPr>
        <w:sectPr>
          <w:pgSz w:w="12240" w:h="15840"/>
          <w:pgMar w:top="1440" w:right="1440" w:bottom="1440" w:left="1440" w:header="720" w:footer="720" w:gutter="0"/>
          <w:cols w:space="720" w:num="1"/>
          <w:docGrid w:linePitch="360" w:charSpace="0"/>
        </w:sectPr>
      </w:pPr>
      <w:r>
        <w:rPr>
          <w:rFonts w:ascii="Times New Roman" w:hAnsi="Times New Roman" w:eastAsia="宋体" w:cs="Times New Roman"/>
          <w:color w:val="auto"/>
          <w:kern w:val="2"/>
          <w:szCs w:val="30"/>
          <w:lang w:eastAsia="zh-CN"/>
        </w:rPr>
        <w:t>* The cutoff value was determined the maximal Youden index in the training set. PPV=Positive predictive value; NPV=Negative predictive value; GNB=Gaussian Naïve Bayes; KNN=k-nearest neighbor; AdaBoost=adaptive boosting trees; XGBoost=extreme gradient boosting trees; SVM=support vector machine; Nnet=single-hidden-layer neural network.</w:t>
      </w:r>
    </w:p>
    <w:p w14:paraId="1CC234D5">
      <w:pPr>
        <w:jc w:val="center"/>
        <w:rPr>
          <w:rFonts w:ascii="Times New Roman" w:hAnsi="Times New Roman" w:cs="Times New Roman"/>
          <w:b/>
          <w:bCs/>
          <w:color w:val="auto"/>
          <w:lang w:eastAsia="zh-CN"/>
        </w:rPr>
      </w:pPr>
      <w:r>
        <w:rPr>
          <w:rFonts w:ascii="Times New Roman" w:hAnsi="Times New Roman" w:cs="Times New Roman"/>
          <w:color w:val="auto"/>
          <w:lang w:eastAsia="zh-CN"/>
        </w:rPr>
        <w:pict>
          <v:shape id="_x0000_i1025" o:spt="75" type="#_x0000_t75" style="height:135.5pt;width:360.5pt;" filled="f" o:preferrelative="t" stroked="f" coordsize="21600,21600">
            <v:path/>
            <v:fill on="f" focussize="0,0"/>
            <v:stroke on="f" joinstyle="miter"/>
            <v:imagedata r:id="rId5" o:title="Figure S1"/>
            <o:lock v:ext="edit" aspectratio="t"/>
            <w10:wrap type="none"/>
            <w10:anchorlock/>
          </v:shape>
        </w:pict>
      </w:r>
    </w:p>
    <w:p w14:paraId="09CC6A24">
      <w:pPr>
        <w:jc w:val="both"/>
        <w:rPr>
          <w:rFonts w:ascii="Times New Roman" w:hAnsi="Times New Roman" w:cs="Times New Roman"/>
          <w:b/>
          <w:bCs/>
          <w:color w:val="auto"/>
        </w:rPr>
      </w:pPr>
    </w:p>
    <w:p w14:paraId="4C0CDBB5">
      <w:pPr>
        <w:jc w:val="both"/>
        <w:rPr>
          <w:rFonts w:ascii="Times New Roman" w:hAnsi="Times New Roman" w:cs="Times New Roman"/>
          <w:color w:val="auto"/>
          <w:lang w:eastAsia="zh-CN"/>
        </w:rPr>
      </w:pPr>
      <w:r>
        <w:rPr>
          <w:rFonts w:ascii="Times New Roman" w:hAnsi="Times New Roman" w:cs="Times New Roman"/>
          <w:b/>
          <w:bCs/>
          <w:color w:val="auto"/>
        </w:rPr>
        <w:t xml:space="preserve">Figure S1. </w:t>
      </w:r>
      <w:r>
        <w:rPr>
          <w:rFonts w:ascii="Times New Roman" w:hAnsi="Times New Roman" w:cs="Times New Roman"/>
          <w:b/>
          <w:color w:val="auto"/>
        </w:rPr>
        <w:t>Missingness map in the inter</w:t>
      </w:r>
      <w:r>
        <w:rPr>
          <w:rFonts w:ascii="Times New Roman" w:hAnsi="Times New Roman" w:cs="Times New Roman"/>
          <w:b/>
          <w:color w:val="auto"/>
          <w:lang w:eastAsia="zh-CN"/>
        </w:rPr>
        <w:t>nal</w:t>
      </w:r>
      <w:r>
        <w:rPr>
          <w:rFonts w:ascii="Times New Roman" w:hAnsi="Times New Roman" w:cs="Times New Roman"/>
          <w:b/>
          <w:color w:val="auto"/>
        </w:rPr>
        <w:t xml:space="preserve"> set </w:t>
      </w:r>
      <w:r>
        <w:rPr>
          <w:rFonts w:ascii="Times New Roman" w:hAnsi="Times New Roman" w:cs="Times New Roman"/>
          <w:b/>
          <w:color w:val="auto"/>
          <w:lang w:eastAsia="zh-CN"/>
        </w:rPr>
        <w:t>and external test</w:t>
      </w:r>
      <w:r>
        <w:rPr>
          <w:rFonts w:ascii="Times New Roman" w:hAnsi="Times New Roman" w:cs="Times New Roman"/>
          <w:b/>
          <w:color w:val="auto"/>
        </w:rPr>
        <w:t xml:space="preserve"> set.</w:t>
      </w:r>
      <w:r>
        <w:rPr>
          <w:rFonts w:ascii="Times New Roman" w:hAnsi="Times New Roman" w:cs="Times New Roman"/>
          <w:color w:val="auto"/>
        </w:rPr>
        <w:t xml:space="preserve"> (</w:t>
      </w:r>
      <w:r>
        <w:rPr>
          <w:rFonts w:ascii="Times New Roman" w:hAnsi="Times New Roman" w:cs="Times New Roman"/>
          <w:b/>
          <w:color w:val="auto"/>
        </w:rPr>
        <w:t>A)</w:t>
      </w:r>
      <w:r>
        <w:rPr>
          <w:rFonts w:ascii="Times New Roman" w:hAnsi="Times New Roman" w:cs="Times New Roman"/>
          <w:color w:val="auto"/>
        </w:rPr>
        <w:t xml:space="preserve"> inter</w:t>
      </w:r>
      <w:r>
        <w:rPr>
          <w:rFonts w:ascii="Times New Roman" w:hAnsi="Times New Roman" w:cs="Times New Roman"/>
          <w:color w:val="auto"/>
          <w:lang w:eastAsia="zh-CN"/>
        </w:rPr>
        <w:t>nal</w:t>
      </w:r>
      <w:r>
        <w:rPr>
          <w:rFonts w:ascii="Times New Roman" w:hAnsi="Times New Roman" w:cs="Times New Roman"/>
          <w:color w:val="auto"/>
        </w:rPr>
        <w:t xml:space="preserve"> set, (</w:t>
      </w:r>
      <w:r>
        <w:rPr>
          <w:rFonts w:ascii="Times New Roman" w:hAnsi="Times New Roman" w:cs="Times New Roman"/>
          <w:b/>
          <w:color w:val="auto"/>
        </w:rPr>
        <w:t>B)</w:t>
      </w:r>
      <w:r>
        <w:rPr>
          <w:rFonts w:ascii="Times New Roman" w:hAnsi="Times New Roman" w:cs="Times New Roman"/>
          <w:color w:val="auto"/>
        </w:rPr>
        <w:t xml:space="preserve"> </w:t>
      </w:r>
      <w:r>
        <w:rPr>
          <w:rFonts w:ascii="Times New Roman" w:hAnsi="Times New Roman" w:cs="Times New Roman"/>
          <w:color w:val="auto"/>
          <w:lang w:eastAsia="zh-CN"/>
        </w:rPr>
        <w:t>external</w:t>
      </w:r>
      <w:r>
        <w:rPr>
          <w:rFonts w:ascii="Times New Roman" w:hAnsi="Times New Roman" w:cs="Times New Roman"/>
          <w:color w:val="auto"/>
        </w:rPr>
        <w:t xml:space="preserve"> set. ASFT=Abdominal subcutaneous fat thickness;</w:t>
      </w:r>
      <w:r>
        <w:rPr>
          <w:rFonts w:ascii="Times New Roman" w:hAnsi="Times New Roman" w:cs="Times New Roman"/>
          <w:color w:val="auto"/>
          <w:lang w:eastAsia="zh-CN"/>
        </w:rPr>
        <w:t xml:space="preserve"> LVWT=left ventricular wall thickness; RVWT=right ventricular wall thickness; c</w:t>
      </w:r>
      <w:r>
        <w:rPr>
          <w:rFonts w:ascii="Times New Roman" w:hAnsi="Times New Roman" w:cs="Times New Roman"/>
          <w:color w:val="auto"/>
        </w:rPr>
        <w:t xml:space="preserve">TA=circumference of tricuspid annulus; </w:t>
      </w:r>
      <w:r>
        <w:rPr>
          <w:rFonts w:ascii="Times New Roman" w:hAnsi="Times New Roman" w:cs="Times New Roman"/>
          <w:color w:val="auto"/>
          <w:lang w:eastAsia="zh-CN"/>
        </w:rPr>
        <w:t>c</w:t>
      </w:r>
      <w:r>
        <w:rPr>
          <w:rFonts w:ascii="Times New Roman" w:hAnsi="Times New Roman" w:cs="Times New Roman"/>
          <w:color w:val="auto"/>
        </w:rPr>
        <w:t>PA=</w:t>
      </w:r>
      <w:r>
        <w:rPr>
          <w:rFonts w:ascii="Times New Roman" w:hAnsi="Times New Roman" w:cs="Times New Roman"/>
          <w:color w:val="auto"/>
          <w:lang w:eastAsia="zh-CN"/>
        </w:rPr>
        <w:t>c</w:t>
      </w:r>
      <w:r>
        <w:rPr>
          <w:rFonts w:ascii="Times New Roman" w:hAnsi="Times New Roman" w:cs="Times New Roman"/>
          <w:color w:val="auto"/>
        </w:rPr>
        <w:t xml:space="preserve">ircumference of pulmonary annulus; cMA=circumference of mitral annulus; </w:t>
      </w:r>
      <w:r>
        <w:rPr>
          <w:rFonts w:ascii="Times New Roman" w:hAnsi="Times New Roman" w:cs="Times New Roman"/>
          <w:color w:val="auto"/>
          <w:lang w:eastAsia="zh-CN"/>
        </w:rPr>
        <w:t>cAA=circumference of aortic annulus; pSBV=perimeter of sub-valve; tS=thickness of septum.</w:t>
      </w:r>
    </w:p>
    <w:p w14:paraId="24706A1A">
      <w:pPr>
        <w:rPr>
          <w:rFonts w:ascii="Times New Roman" w:hAnsi="Times New Roman" w:cs="Times New Roman"/>
          <w:b/>
          <w:bCs/>
          <w:color w:val="auto"/>
        </w:rPr>
      </w:pPr>
      <w:r>
        <w:rPr>
          <w:rFonts w:ascii="Times New Roman" w:hAnsi="Times New Roman" w:cs="Times New Roman"/>
          <w:b/>
          <w:bCs/>
          <w:color w:val="auto"/>
        </w:rPr>
        <w:br w:type="page"/>
      </w:r>
    </w:p>
    <w:p w14:paraId="1F7B9CCA">
      <w:pPr>
        <w:jc w:val="center"/>
        <w:rPr>
          <w:rFonts w:ascii="Times New Roman" w:hAnsi="Times New Roman" w:cs="Times New Roman"/>
          <w:color w:val="auto"/>
          <w:lang w:eastAsia="zh-CN"/>
        </w:rPr>
      </w:pPr>
      <w:r>
        <w:rPr>
          <w:rFonts w:ascii="Times New Roman" w:hAnsi="Times New Roman" w:cs="Times New Roman"/>
          <w:color w:val="auto"/>
          <w:lang w:eastAsia="zh-CN"/>
        </w:rPr>
        <w:pict>
          <v:shape id="_x0000_i1026" o:spt="75" type="#_x0000_t75" style="height:271.5pt;width:348pt;" filled="f" o:preferrelative="t" stroked="f" coordsize="21600,21600">
            <v:path/>
            <v:fill on="f" focussize="0,0"/>
            <v:stroke on="f" joinstyle="miter"/>
            <v:imagedata r:id="rId6" o:title="Figure S2"/>
            <o:lock v:ext="edit" aspectratio="t"/>
            <w10:wrap type="none"/>
            <w10:anchorlock/>
          </v:shape>
        </w:pict>
      </w:r>
    </w:p>
    <w:p w14:paraId="3CB6BCFA">
      <w:pPr>
        <w:jc w:val="center"/>
        <w:rPr>
          <w:rFonts w:ascii="Times New Roman" w:hAnsi="Times New Roman" w:cs="Times New Roman"/>
          <w:color w:val="auto"/>
          <w:lang w:eastAsia="zh-CN"/>
        </w:rPr>
      </w:pPr>
    </w:p>
    <w:p w14:paraId="2E86CA8B">
      <w:pPr>
        <w:jc w:val="both"/>
        <w:rPr>
          <w:rFonts w:ascii="Times New Roman" w:hAnsi="Times New Roman" w:cs="Times New Roman"/>
          <w:b/>
          <w:bCs/>
          <w:color w:val="auto"/>
          <w:lang w:eastAsia="zh-CN"/>
        </w:rPr>
      </w:pPr>
      <w:r>
        <w:rPr>
          <w:rFonts w:ascii="Times New Roman" w:hAnsi="Times New Roman" w:cs="Times New Roman"/>
          <w:b/>
          <w:bCs/>
          <w:color w:val="auto"/>
        </w:rPr>
        <w:t>Figure S2</w:t>
      </w:r>
      <w:r>
        <w:rPr>
          <w:rFonts w:ascii="Times New Roman" w:hAnsi="Times New Roman" w:cs="Times New Roman"/>
          <w:b/>
          <w:bCs/>
          <w:color w:val="auto"/>
          <w:lang w:eastAsia="zh-CN"/>
        </w:rPr>
        <w:t>.</w:t>
      </w:r>
      <w:r>
        <w:rPr>
          <w:rFonts w:ascii="Times New Roman" w:hAnsi="Times New Roman" w:cs="Times New Roman"/>
          <w:b/>
          <w:bCs/>
          <w:color w:val="auto"/>
        </w:rPr>
        <w:t xml:space="preserve"> Application of the </w:t>
      </w:r>
      <w:r>
        <w:rPr>
          <w:rFonts w:ascii="Times New Roman" w:hAnsi="Times New Roman" w:cs="Times New Roman"/>
          <w:b/>
          <w:bCs/>
          <w:color w:val="auto"/>
          <w:lang w:eastAsia="zh-CN"/>
        </w:rPr>
        <w:t>established n</w:t>
      </w:r>
      <w:r>
        <w:rPr>
          <w:rFonts w:ascii="Times New Roman" w:hAnsi="Times New Roman" w:cs="Times New Roman"/>
          <w:b/>
          <w:bCs/>
          <w:color w:val="auto"/>
        </w:rPr>
        <w:t xml:space="preserve">omogram </w:t>
      </w:r>
      <w:r>
        <w:rPr>
          <w:rFonts w:ascii="Times New Roman" w:hAnsi="Times New Roman" w:cs="Times New Roman"/>
          <w:b/>
          <w:bCs/>
          <w:color w:val="auto"/>
          <w:lang w:eastAsia="zh-CN"/>
        </w:rPr>
        <w:t xml:space="preserve">in diagnosing CAS. </w:t>
      </w:r>
      <w:r>
        <w:rPr>
          <w:rFonts w:ascii="Times New Roman" w:hAnsi="Times New Roman" w:cs="Times New Roman"/>
          <w:b/>
          <w:color w:val="auto"/>
          <w:lang w:eastAsia="zh-CN"/>
        </w:rPr>
        <w:t>A-C</w:t>
      </w:r>
      <w:r>
        <w:rPr>
          <w:rFonts w:ascii="Times New Roman" w:hAnsi="Times New Roman" w:cs="Times New Roman"/>
          <w:color w:val="auto"/>
          <w:lang w:eastAsia="zh-CN"/>
        </w:rPr>
        <w:t xml:space="preserve"> ROC curves of the nomogram for diagnosing CAS in the training (</w:t>
      </w:r>
      <w:r>
        <w:rPr>
          <w:rFonts w:ascii="Times New Roman" w:hAnsi="Times New Roman" w:cs="Times New Roman"/>
          <w:b/>
          <w:color w:val="auto"/>
          <w:lang w:eastAsia="zh-CN"/>
        </w:rPr>
        <w:t>A</w:t>
      </w:r>
      <w:r>
        <w:rPr>
          <w:rFonts w:ascii="Times New Roman" w:hAnsi="Times New Roman" w:cs="Times New Roman"/>
          <w:color w:val="auto"/>
          <w:lang w:eastAsia="zh-CN"/>
        </w:rPr>
        <w:t>), validation (</w:t>
      </w:r>
      <w:r>
        <w:rPr>
          <w:rFonts w:ascii="Times New Roman" w:hAnsi="Times New Roman" w:cs="Times New Roman"/>
          <w:b/>
          <w:color w:val="auto"/>
          <w:lang w:eastAsia="zh-CN"/>
        </w:rPr>
        <w:t>B</w:t>
      </w:r>
      <w:r>
        <w:rPr>
          <w:rFonts w:ascii="Times New Roman" w:hAnsi="Times New Roman" w:cs="Times New Roman"/>
          <w:color w:val="auto"/>
          <w:lang w:eastAsia="zh-CN"/>
        </w:rPr>
        <w:t>) and test (</w:t>
      </w:r>
      <w:r>
        <w:rPr>
          <w:rFonts w:ascii="Times New Roman" w:hAnsi="Times New Roman" w:cs="Times New Roman"/>
          <w:b/>
          <w:color w:val="auto"/>
          <w:lang w:eastAsia="zh-CN"/>
        </w:rPr>
        <w:t>C</w:t>
      </w:r>
      <w:r>
        <w:rPr>
          <w:rFonts w:ascii="Times New Roman" w:hAnsi="Times New Roman" w:cs="Times New Roman"/>
          <w:color w:val="auto"/>
          <w:lang w:eastAsia="zh-CN"/>
        </w:rPr>
        <w:t xml:space="preserve">) set, respectively. </w:t>
      </w:r>
      <w:r>
        <w:rPr>
          <w:rFonts w:ascii="Times New Roman" w:hAnsi="Times New Roman" w:cs="Times New Roman"/>
          <w:b/>
          <w:color w:val="auto"/>
          <w:lang w:eastAsia="zh-CN"/>
        </w:rPr>
        <w:t>D-F</w:t>
      </w:r>
      <w:r>
        <w:rPr>
          <w:rFonts w:ascii="Times New Roman" w:hAnsi="Times New Roman" w:cs="Times New Roman"/>
          <w:color w:val="auto"/>
          <w:lang w:eastAsia="zh-CN"/>
        </w:rPr>
        <w:t xml:space="preserve"> Calibration curves in the training (</w:t>
      </w:r>
      <w:r>
        <w:rPr>
          <w:rFonts w:ascii="Times New Roman" w:hAnsi="Times New Roman" w:cs="Times New Roman"/>
          <w:b/>
          <w:color w:val="auto"/>
          <w:lang w:eastAsia="zh-CN"/>
        </w:rPr>
        <w:t>D</w:t>
      </w:r>
      <w:r>
        <w:rPr>
          <w:rFonts w:ascii="Times New Roman" w:hAnsi="Times New Roman" w:cs="Times New Roman"/>
          <w:color w:val="auto"/>
          <w:lang w:eastAsia="zh-CN"/>
        </w:rPr>
        <w:t>), validation (</w:t>
      </w:r>
      <w:r>
        <w:rPr>
          <w:rFonts w:ascii="Times New Roman" w:hAnsi="Times New Roman" w:cs="Times New Roman"/>
          <w:b/>
          <w:color w:val="auto"/>
          <w:lang w:eastAsia="zh-CN"/>
        </w:rPr>
        <w:t>E</w:t>
      </w:r>
      <w:r>
        <w:rPr>
          <w:rFonts w:ascii="Times New Roman" w:hAnsi="Times New Roman" w:cs="Times New Roman"/>
          <w:color w:val="auto"/>
          <w:lang w:eastAsia="zh-CN"/>
        </w:rPr>
        <w:t>) and test (</w:t>
      </w:r>
      <w:r>
        <w:rPr>
          <w:rFonts w:ascii="Times New Roman" w:hAnsi="Times New Roman" w:cs="Times New Roman"/>
          <w:b/>
          <w:color w:val="auto"/>
          <w:lang w:eastAsia="zh-CN"/>
        </w:rPr>
        <w:t>F</w:t>
      </w:r>
      <w:r>
        <w:rPr>
          <w:rFonts w:ascii="Times New Roman" w:hAnsi="Times New Roman" w:cs="Times New Roman"/>
          <w:color w:val="auto"/>
          <w:lang w:eastAsia="zh-CN"/>
        </w:rPr>
        <w:t xml:space="preserve">) set, respectively. </w:t>
      </w:r>
      <w:r>
        <w:rPr>
          <w:rFonts w:ascii="Times New Roman" w:hAnsi="Times New Roman" w:cs="Times New Roman"/>
          <w:b/>
          <w:color w:val="auto"/>
          <w:lang w:eastAsia="zh-CN"/>
        </w:rPr>
        <w:t>G-I</w:t>
      </w:r>
      <w:r>
        <w:rPr>
          <w:rFonts w:ascii="Times New Roman" w:hAnsi="Times New Roman" w:cs="Times New Roman"/>
          <w:color w:val="auto"/>
          <w:lang w:eastAsia="zh-CN"/>
        </w:rPr>
        <w:t xml:space="preserve"> Decision curves in the training (</w:t>
      </w:r>
      <w:r>
        <w:rPr>
          <w:rFonts w:ascii="Times New Roman" w:hAnsi="Times New Roman" w:cs="Times New Roman"/>
          <w:b/>
          <w:color w:val="auto"/>
          <w:lang w:eastAsia="zh-CN"/>
        </w:rPr>
        <w:t>G</w:t>
      </w:r>
      <w:r>
        <w:rPr>
          <w:rFonts w:ascii="Times New Roman" w:hAnsi="Times New Roman" w:cs="Times New Roman"/>
          <w:color w:val="auto"/>
          <w:lang w:eastAsia="zh-CN"/>
        </w:rPr>
        <w:t>), validation (</w:t>
      </w:r>
      <w:r>
        <w:rPr>
          <w:rFonts w:ascii="Times New Roman" w:hAnsi="Times New Roman" w:cs="Times New Roman"/>
          <w:b/>
          <w:color w:val="auto"/>
          <w:lang w:eastAsia="zh-CN"/>
        </w:rPr>
        <w:t>H</w:t>
      </w:r>
      <w:r>
        <w:rPr>
          <w:rFonts w:ascii="Times New Roman" w:hAnsi="Times New Roman" w:cs="Times New Roman"/>
          <w:color w:val="auto"/>
          <w:lang w:eastAsia="zh-CN"/>
        </w:rPr>
        <w:t>) and test (</w:t>
      </w:r>
      <w:r>
        <w:rPr>
          <w:rFonts w:ascii="Times New Roman" w:hAnsi="Times New Roman" w:cs="Times New Roman"/>
          <w:b/>
          <w:color w:val="auto"/>
          <w:lang w:eastAsia="zh-CN"/>
        </w:rPr>
        <w:t>I</w:t>
      </w:r>
      <w:r>
        <w:rPr>
          <w:rFonts w:ascii="Times New Roman" w:hAnsi="Times New Roman" w:cs="Times New Roman"/>
          <w:color w:val="auto"/>
          <w:lang w:eastAsia="zh-CN"/>
        </w:rPr>
        <w:t>) set, respectively. CAS=coronary atherosclerosis.</w:t>
      </w:r>
    </w:p>
    <w:p w14:paraId="32C2DE47">
      <w:pPr>
        <w:rPr>
          <w:rFonts w:ascii="Times New Roman" w:hAnsi="Times New Roman" w:cs="Times New Roman"/>
          <w:b/>
          <w:bCs/>
          <w:color w:val="auto"/>
        </w:rPr>
        <w:sectPr>
          <w:pgSz w:w="12240" w:h="15840"/>
          <w:pgMar w:top="1440" w:right="1440" w:bottom="1440" w:left="1440" w:header="720" w:footer="720" w:gutter="0"/>
          <w:cols w:space="720" w:num="1"/>
          <w:docGrid w:linePitch="360" w:charSpace="0"/>
        </w:sectPr>
      </w:pPr>
      <w:r>
        <w:rPr>
          <w:rFonts w:ascii="Times New Roman" w:hAnsi="Times New Roman" w:cs="Times New Roman"/>
          <w:b/>
          <w:bCs/>
          <w:color w:val="auto"/>
        </w:rPr>
        <w:br w:type="page"/>
      </w:r>
    </w:p>
    <w:p w14:paraId="4455C5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b/>
          <w:bCs/>
          <w:color w:val="auto"/>
          <w:lang w:eastAsia="zh-CN"/>
        </w:rPr>
      </w:pPr>
      <w:bookmarkStart w:id="1" w:name="OLE_LINK2"/>
      <w:r>
        <w:rPr>
          <w:rFonts w:hint="eastAsia" w:ascii="Times New Roman" w:hAnsi="Times New Roman" w:cs="Times New Roman" w:eastAsiaTheme="minorEastAsia"/>
          <w:b/>
          <w:bCs/>
          <w:color w:val="auto"/>
          <w:lang w:eastAsia="zh-CN"/>
        </w:rPr>
        <w:drawing>
          <wp:inline distT="0" distB="0" distL="114300" distR="114300">
            <wp:extent cx="5069840" cy="2552700"/>
            <wp:effectExtent l="0" t="0" r="0" b="0"/>
            <wp:docPr id="1" name="图片 1" descr="Supplemental 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l Fig.3"/>
                    <pic:cNvPicPr>
                      <a:picLocks noChangeAspect="1"/>
                    </pic:cNvPicPr>
                  </pic:nvPicPr>
                  <pic:blipFill>
                    <a:blip r:embed="rId7"/>
                    <a:srcRect l="14555" t="23136" b="19098"/>
                    <a:stretch>
                      <a:fillRect/>
                    </a:stretch>
                  </pic:blipFill>
                  <pic:spPr>
                    <a:xfrm>
                      <a:off x="0" y="0"/>
                      <a:ext cx="5069840" cy="2552700"/>
                    </a:xfrm>
                    <a:prstGeom prst="rect">
                      <a:avLst/>
                    </a:prstGeom>
                  </pic:spPr>
                </pic:pic>
              </a:graphicData>
            </a:graphic>
          </wp:inline>
        </w:drawing>
      </w:r>
    </w:p>
    <w:p w14:paraId="71473B2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color w:val="auto"/>
          <w:lang w:val="en-US"/>
        </w:rPr>
        <w:sectPr>
          <w:pgSz w:w="12240" w:h="15840"/>
          <w:pgMar w:top="1440" w:right="1440" w:bottom="1440" w:left="1440" w:header="720" w:footer="720" w:gutter="0"/>
          <w:cols w:space="720" w:num="1"/>
          <w:docGrid w:linePitch="360" w:charSpace="0"/>
        </w:sectPr>
      </w:pPr>
      <w:r>
        <w:rPr>
          <w:rFonts w:ascii="Times New Roman" w:hAnsi="Times New Roman" w:cs="Times New Roman"/>
          <w:b/>
          <w:bCs/>
          <w:color w:val="auto"/>
        </w:rPr>
        <w:t>Figure S</w:t>
      </w:r>
      <w:r>
        <w:rPr>
          <w:rFonts w:hint="eastAsia" w:ascii="Times New Roman" w:hAnsi="Times New Roman" w:cs="Times New Roman"/>
          <w:b/>
          <w:bCs/>
          <w:color w:val="auto"/>
          <w:lang w:val="en-US" w:eastAsia="zh-CN"/>
        </w:rPr>
        <w:t>3</w:t>
      </w:r>
      <w:r>
        <w:rPr>
          <w:rFonts w:ascii="Times New Roman" w:hAnsi="Times New Roman" w:cs="Times New Roman"/>
          <w:b/>
          <w:bCs/>
          <w:color w:val="auto"/>
          <w:lang w:eastAsia="zh-CN"/>
        </w:rPr>
        <w:t>.</w:t>
      </w:r>
      <w:r>
        <w:rPr>
          <w:rFonts w:hint="eastAsia" w:ascii="Times New Roman" w:hAnsi="Times New Roman" w:cs="Times New Roman"/>
          <w:b/>
          <w:bCs/>
          <w:color w:val="auto"/>
          <w:lang w:val="en-US" w:eastAsia="zh-CN"/>
        </w:rPr>
        <w:t xml:space="preserve"> </w:t>
      </w:r>
      <w:r>
        <w:rPr>
          <w:rFonts w:hint="eastAsia" w:ascii="Times New Roman" w:hAnsi="Times New Roman" w:cs="Times New Roman" w:eastAsiaTheme="minorEastAsia"/>
          <w:b/>
          <w:bCs/>
          <w:color w:val="auto"/>
          <w:sz w:val="24"/>
          <w:szCs w:val="24"/>
          <w:lang w:val="en-US" w:eastAsia="zh-CN" w:bidi="ar-SA"/>
        </w:rPr>
        <w:t xml:space="preserve">Schematic </w:t>
      </w:r>
      <w:r>
        <w:rPr>
          <w:rFonts w:hint="eastAsia" w:ascii="Times New Roman" w:hAnsi="Times New Roman" w:cs="Times New Roman"/>
          <w:b/>
          <w:bCs/>
          <w:color w:val="auto"/>
          <w:sz w:val="24"/>
          <w:szCs w:val="24"/>
          <w:lang w:val="en-US" w:eastAsia="zh-CN" w:bidi="ar-SA"/>
        </w:rPr>
        <w:t>d</w:t>
      </w:r>
      <w:r>
        <w:rPr>
          <w:rFonts w:hint="eastAsia" w:ascii="Times New Roman" w:hAnsi="Times New Roman" w:cs="Times New Roman" w:eastAsiaTheme="minorEastAsia"/>
          <w:b/>
          <w:bCs/>
          <w:color w:val="auto"/>
          <w:sz w:val="24"/>
          <w:szCs w:val="24"/>
          <w:lang w:val="en-US" w:eastAsia="zh-CN" w:bidi="ar-SA"/>
        </w:rPr>
        <w:t xml:space="preserve">iagram of </w:t>
      </w:r>
      <w:r>
        <w:rPr>
          <w:rFonts w:hint="eastAsia" w:ascii="Times New Roman" w:hAnsi="Times New Roman" w:cs="Times New Roman"/>
          <w:b/>
          <w:bCs/>
          <w:color w:val="auto"/>
          <w:sz w:val="24"/>
          <w:szCs w:val="24"/>
          <w:lang w:val="en-US" w:eastAsia="zh-CN" w:bidi="ar-SA"/>
        </w:rPr>
        <w:t>m</w:t>
      </w:r>
      <w:r>
        <w:rPr>
          <w:rFonts w:hint="eastAsia" w:ascii="Times New Roman" w:hAnsi="Times New Roman" w:cs="Times New Roman" w:eastAsiaTheme="minorEastAsia"/>
          <w:b/>
          <w:bCs/>
          <w:color w:val="auto"/>
          <w:sz w:val="24"/>
          <w:szCs w:val="24"/>
          <w:lang w:val="en-US" w:eastAsia="zh-CN" w:bidi="ar-SA"/>
        </w:rPr>
        <w:t xml:space="preserve">easurement of RVOT </w:t>
      </w:r>
      <w:r>
        <w:rPr>
          <w:rFonts w:hint="eastAsia" w:ascii="Times New Roman" w:hAnsi="Times New Roman" w:cs="Times New Roman"/>
          <w:b/>
          <w:bCs/>
          <w:color w:val="auto"/>
          <w:sz w:val="24"/>
          <w:szCs w:val="24"/>
          <w:lang w:val="en-US" w:eastAsia="zh-CN" w:bidi="ar-SA"/>
        </w:rPr>
        <w:t>morphology by c</w:t>
      </w:r>
      <w:r>
        <w:rPr>
          <w:rFonts w:hint="eastAsia" w:ascii="Times New Roman" w:hAnsi="Times New Roman" w:cs="Times New Roman" w:eastAsiaTheme="minorEastAsia"/>
          <w:b/>
          <w:bCs/>
          <w:color w:val="auto"/>
          <w:sz w:val="24"/>
          <w:szCs w:val="24"/>
          <w:lang w:val="en-US" w:eastAsia="zh-CN" w:bidi="ar-SA"/>
        </w:rPr>
        <w:t xml:space="preserve">ardiac </w:t>
      </w:r>
      <w:r>
        <w:rPr>
          <w:rFonts w:hint="eastAsia" w:ascii="Times New Roman" w:hAnsi="Times New Roman" w:cs="Times New Roman"/>
          <w:b/>
          <w:bCs/>
          <w:color w:val="auto"/>
          <w:sz w:val="24"/>
          <w:szCs w:val="24"/>
          <w:lang w:val="en-US" w:eastAsia="zh-CN" w:bidi="ar-SA"/>
        </w:rPr>
        <w:t>u</w:t>
      </w:r>
      <w:r>
        <w:rPr>
          <w:rFonts w:hint="eastAsia" w:ascii="Times New Roman" w:hAnsi="Times New Roman" w:cs="Times New Roman" w:eastAsiaTheme="minorEastAsia"/>
          <w:b/>
          <w:bCs/>
          <w:color w:val="auto"/>
          <w:sz w:val="24"/>
          <w:szCs w:val="24"/>
          <w:lang w:val="en-US" w:eastAsia="zh-CN" w:bidi="ar-SA"/>
        </w:rPr>
        <w:t>ltrasound</w:t>
      </w:r>
      <w:r>
        <w:rPr>
          <w:rFonts w:hint="eastAsia" w:ascii="Times New Roman" w:hAnsi="Times New Roman" w:cs="Times New Roman"/>
          <w:b/>
          <w:bCs/>
          <w:color w:val="auto"/>
          <w:sz w:val="24"/>
          <w:szCs w:val="24"/>
          <w:lang w:val="en-US" w:eastAsia="zh-CN" w:bidi="ar-SA"/>
        </w:rPr>
        <w:t>.</w:t>
      </w:r>
      <w:r>
        <w:rPr>
          <w:rFonts w:hint="eastAsia" w:ascii="Times New Roman" w:hAnsi="Times New Roman" w:cs="Times New Roman"/>
          <w:b w:val="0"/>
          <w:bCs w:val="0"/>
          <w:color w:val="auto"/>
          <w:sz w:val="24"/>
          <w:szCs w:val="24"/>
          <w:lang w:val="en-US" w:eastAsia="zh-CN" w:bidi="ar-SA"/>
        </w:rPr>
        <w:t xml:space="preserve"> The morphology of RVOT was measured from parasternal short axis section by cardiac ultrasound (left), and end-diastolic RVOT diameter (blue dash line) was measured at the plane below pulmonary valves (right). AV=aortic valve; LA=left atrium; PA=pulmonary artery; PSAX=parasternal short axis; PV=pulmonary valve; RA=right atrium; RVOT=right ventricular outflow tract; RVOTd=RVOT diameter; TV=tricuspid valve.</w:t>
      </w:r>
    </w:p>
    <w:bookmarkEnd w:id="1"/>
    <w:p w14:paraId="2939534D">
      <w:pPr>
        <w:spacing w:line="480" w:lineRule="auto"/>
        <w:rPr>
          <w:rFonts w:ascii="Times New Roman" w:hAnsi="Times New Roman" w:cs="Times New Roman"/>
          <w:b/>
          <w:bCs/>
          <w:color w:val="auto"/>
        </w:rPr>
      </w:pPr>
      <w:r>
        <w:rPr>
          <w:rFonts w:ascii="Times New Roman" w:hAnsi="Times New Roman" w:cs="Times New Roman"/>
          <w:b/>
          <w:bCs/>
          <w:color w:val="auto"/>
        </w:rPr>
        <w:t xml:space="preserve">Supplemental References </w:t>
      </w:r>
    </w:p>
    <w:p w14:paraId="1C888B03">
      <w:pPr>
        <w:autoSpaceDE w:val="0"/>
        <w:autoSpaceDN w:val="0"/>
        <w:adjustRightInd w:val="0"/>
        <w:spacing w:line="360" w:lineRule="auto"/>
        <w:rPr>
          <w:rFonts w:ascii="Times New Roman" w:hAnsi="Times New Roman" w:eastAsia="宋体" w:cs="Times New Roman"/>
          <w:color w:val="auto"/>
          <w:sz w:val="36"/>
          <w:szCs w:val="36"/>
          <w:lang w:eastAsia="zh-CN"/>
        </w:rPr>
      </w:pPr>
      <w:r>
        <w:rPr>
          <w:rFonts w:ascii="Times New Roman" w:hAnsi="Times New Roman" w:eastAsia="宋体" w:cs="Times New Roman"/>
          <w:color w:val="auto"/>
        </w:rPr>
        <w:t xml:space="preserve">1. Stekhoven, D. J. &amp; Bühlmann P. MissForest--non-parametric missing value imputation for mixed-type data. </w:t>
      </w:r>
      <w:r>
        <w:rPr>
          <w:rFonts w:ascii="Times New Roman" w:hAnsi="Times New Roman" w:eastAsia="宋体" w:cs="Times New Roman"/>
          <w:i/>
          <w:color w:val="auto"/>
        </w:rPr>
        <w:t>Bioinformatics</w:t>
      </w:r>
      <w:r>
        <w:rPr>
          <w:rFonts w:ascii="Times New Roman" w:hAnsi="Times New Roman" w:eastAsia="宋体" w:cs="Times New Roman"/>
          <w:color w:val="auto"/>
        </w:rPr>
        <w:t xml:space="preserve"> </w:t>
      </w:r>
      <w:r>
        <w:rPr>
          <w:rFonts w:ascii="Times New Roman" w:hAnsi="Times New Roman" w:eastAsia="宋体" w:cs="Times New Roman"/>
          <w:b/>
          <w:color w:val="auto"/>
        </w:rPr>
        <w:t>28,</w:t>
      </w:r>
      <w:r>
        <w:rPr>
          <w:rFonts w:ascii="Times New Roman" w:hAnsi="Times New Roman" w:eastAsia="宋体" w:cs="Times New Roman"/>
          <w:color w:val="auto"/>
        </w:rPr>
        <w:t xml:space="preserve"> 112-118 (2012).</w:t>
      </w:r>
    </w:p>
    <w:p w14:paraId="0D9D463D">
      <w:pPr>
        <w:rPr>
          <w:rFonts w:ascii="Times New Roman" w:hAnsi="Times New Roman" w:cs="Times New Roman"/>
          <w:b/>
          <w:bCs/>
          <w:color w:val="auto"/>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Fonts w:ascii="Times New Roman" w:hAnsi="Times New Roman" w:cs="Times New Roman"/>
      </w:rPr>
      <w:id w:val="1614944081"/>
    </w:sdtPr>
    <w:sdtEndPr>
      <w:rPr>
        <w:rStyle w:val="17"/>
        <w:rFonts w:ascii="Times New Roman" w:hAnsi="Times New Roman" w:cs="Times New Roman"/>
      </w:rPr>
    </w:sdtEndPr>
    <w:sdtContent>
      <w:p w14:paraId="3DFFD39E">
        <w:pPr>
          <w:pStyle w:val="6"/>
          <w:framePr w:wrap="around" w:vAnchor="text" w:hAnchor="margin" w:xAlign="right" w:y="1"/>
          <w:rPr>
            <w:rStyle w:val="17"/>
            <w:rFonts w:ascii="Times New Roman" w:hAnsi="Times New Roman" w:cs="Times New Roman"/>
          </w:rPr>
        </w:pPr>
        <w:r>
          <w:rPr>
            <w:rStyle w:val="17"/>
            <w:rFonts w:ascii="Times New Roman" w:hAnsi="Times New Roman" w:cs="Times New Roman"/>
          </w:rPr>
          <w:fldChar w:fldCharType="begin"/>
        </w:r>
        <w:r>
          <w:rPr>
            <w:rStyle w:val="17"/>
            <w:rFonts w:ascii="Times New Roman" w:hAnsi="Times New Roman" w:cs="Times New Roman"/>
          </w:rPr>
          <w:instrText xml:space="preserve"> PAGE </w:instrText>
        </w:r>
        <w:r>
          <w:rPr>
            <w:rStyle w:val="17"/>
            <w:rFonts w:ascii="Times New Roman" w:hAnsi="Times New Roman" w:cs="Times New Roman"/>
          </w:rPr>
          <w:fldChar w:fldCharType="separate"/>
        </w:r>
        <w:r>
          <w:rPr>
            <w:rStyle w:val="17"/>
            <w:rFonts w:ascii="Times New Roman" w:hAnsi="Times New Roman" w:cs="Times New Roman"/>
          </w:rPr>
          <w:t>18</w:t>
        </w:r>
        <w:r>
          <w:rPr>
            <w:rStyle w:val="17"/>
            <w:rFonts w:ascii="Times New Roman" w:hAnsi="Times New Roman" w:cs="Times New Roman"/>
          </w:rPr>
          <w:fldChar w:fldCharType="end"/>
        </w:r>
      </w:p>
    </w:sdtContent>
  </w:sdt>
  <w:p w14:paraId="6530815E">
    <w:pPr>
      <w:pStyle w:val="6"/>
      <w:ind w:right="360"/>
      <w:rPr>
        <w:rFonts w:ascii="Times New Roman" w:hAnsi="Times New Roman"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0A12C4"/>
    <w:multiLevelType w:val="multilevel"/>
    <w:tmpl w:val="590A12C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720"/>
  <w:displayHorizontalDrawingGridEvery w:val="0"/>
  <w:displayVerticalDrawingGridEvery w:val="2"/>
  <w:characterSpacingControl w:val="doNotCompress"/>
  <w:compat>
    <w:balanceSingleByteDoubleByteWidth/>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hNGJiMWVmZTg4ZjFhYWZhYWFiMzBkODkwYWRkZmUifQ=="/>
    <w:docVar w:name="EN.InstantFormat" w:val="&lt;ENInstantFormat&gt;&lt;Enabled&gt;1&lt;/Enabled&gt;&lt;ScanUnformatted&gt;1&lt;/ScanUnformatted&gt;&lt;ScanChanges&gt;1&lt;/ScanChanges&gt;&lt;Suspended&gt;1&lt;/Suspended&gt;&lt;/ENInstantFormat&gt;"/>
    <w:docVar w:name="EN.Layout" w:val="&lt;ENLayout&gt;&lt;Style&gt;Sage 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d5tfrfgetsepeazd95va5i5wtpxf5ssaxz&quot;&gt;Compendium-Converted&lt;record-ids&gt;&lt;item&gt;301&lt;/item&gt;&lt;item&gt;420&lt;/item&gt;&lt;item&gt;421&lt;/item&gt;&lt;item&gt;431&lt;/item&gt;&lt;item&gt;440&lt;/item&gt;&lt;/record-ids&gt;&lt;/item&gt;&lt;/Libraries&gt;"/>
  </w:docVars>
  <w:rsids>
    <w:rsidRoot w:val="00894303"/>
    <w:rsid w:val="0000237C"/>
    <w:rsid w:val="00004FB1"/>
    <w:rsid w:val="00006002"/>
    <w:rsid w:val="000100C7"/>
    <w:rsid w:val="00010836"/>
    <w:rsid w:val="00011FCE"/>
    <w:rsid w:val="000122FD"/>
    <w:rsid w:val="00012822"/>
    <w:rsid w:val="00013020"/>
    <w:rsid w:val="000133D9"/>
    <w:rsid w:val="00013F7B"/>
    <w:rsid w:val="00014D54"/>
    <w:rsid w:val="0002391F"/>
    <w:rsid w:val="00026285"/>
    <w:rsid w:val="000340D2"/>
    <w:rsid w:val="00037551"/>
    <w:rsid w:val="00042E49"/>
    <w:rsid w:val="000435E0"/>
    <w:rsid w:val="00045217"/>
    <w:rsid w:val="00046216"/>
    <w:rsid w:val="000468BF"/>
    <w:rsid w:val="000501D1"/>
    <w:rsid w:val="00054B17"/>
    <w:rsid w:val="0005755B"/>
    <w:rsid w:val="000608B7"/>
    <w:rsid w:val="0006136C"/>
    <w:rsid w:val="000656F9"/>
    <w:rsid w:val="00066527"/>
    <w:rsid w:val="00067113"/>
    <w:rsid w:val="000724AF"/>
    <w:rsid w:val="00075FD8"/>
    <w:rsid w:val="00076C2C"/>
    <w:rsid w:val="00082A3C"/>
    <w:rsid w:val="00086D38"/>
    <w:rsid w:val="00087783"/>
    <w:rsid w:val="00087B0E"/>
    <w:rsid w:val="00087F33"/>
    <w:rsid w:val="00090AD5"/>
    <w:rsid w:val="000918A7"/>
    <w:rsid w:val="000926D3"/>
    <w:rsid w:val="000961EA"/>
    <w:rsid w:val="000964CF"/>
    <w:rsid w:val="00096747"/>
    <w:rsid w:val="000A0748"/>
    <w:rsid w:val="000A08A1"/>
    <w:rsid w:val="000A1749"/>
    <w:rsid w:val="000A17FD"/>
    <w:rsid w:val="000A25B9"/>
    <w:rsid w:val="000A390B"/>
    <w:rsid w:val="000B1D1B"/>
    <w:rsid w:val="000B28DF"/>
    <w:rsid w:val="000B33A2"/>
    <w:rsid w:val="000B4912"/>
    <w:rsid w:val="000B55CA"/>
    <w:rsid w:val="000B675B"/>
    <w:rsid w:val="000B6C36"/>
    <w:rsid w:val="000C5D93"/>
    <w:rsid w:val="000D0AEE"/>
    <w:rsid w:val="000D2244"/>
    <w:rsid w:val="000D3D3C"/>
    <w:rsid w:val="000D485B"/>
    <w:rsid w:val="000D740A"/>
    <w:rsid w:val="000E4CB2"/>
    <w:rsid w:val="000E7DE9"/>
    <w:rsid w:val="000F16F8"/>
    <w:rsid w:val="000F2095"/>
    <w:rsid w:val="000F2D59"/>
    <w:rsid w:val="000F35A8"/>
    <w:rsid w:val="000F367F"/>
    <w:rsid w:val="000F3802"/>
    <w:rsid w:val="000F411B"/>
    <w:rsid w:val="000F72EE"/>
    <w:rsid w:val="00101D8B"/>
    <w:rsid w:val="001033E4"/>
    <w:rsid w:val="001073FB"/>
    <w:rsid w:val="00107610"/>
    <w:rsid w:val="001145CA"/>
    <w:rsid w:val="001155B7"/>
    <w:rsid w:val="00125403"/>
    <w:rsid w:val="00125519"/>
    <w:rsid w:val="0013028C"/>
    <w:rsid w:val="00135BA6"/>
    <w:rsid w:val="00137AEF"/>
    <w:rsid w:val="00142DF7"/>
    <w:rsid w:val="00145EFE"/>
    <w:rsid w:val="001507DA"/>
    <w:rsid w:val="00150EC2"/>
    <w:rsid w:val="00152A59"/>
    <w:rsid w:val="0016018D"/>
    <w:rsid w:val="001618CA"/>
    <w:rsid w:val="0016468C"/>
    <w:rsid w:val="001722F2"/>
    <w:rsid w:val="001731EE"/>
    <w:rsid w:val="00176CC2"/>
    <w:rsid w:val="001846BC"/>
    <w:rsid w:val="0018582A"/>
    <w:rsid w:val="00186D70"/>
    <w:rsid w:val="00187544"/>
    <w:rsid w:val="00194B9E"/>
    <w:rsid w:val="00194D40"/>
    <w:rsid w:val="00196D78"/>
    <w:rsid w:val="00196E7D"/>
    <w:rsid w:val="001A099C"/>
    <w:rsid w:val="001A1596"/>
    <w:rsid w:val="001A2FBB"/>
    <w:rsid w:val="001B0C55"/>
    <w:rsid w:val="001B2DE1"/>
    <w:rsid w:val="001B48C1"/>
    <w:rsid w:val="001C10A9"/>
    <w:rsid w:val="001C252D"/>
    <w:rsid w:val="001C4FC7"/>
    <w:rsid w:val="001D0B1B"/>
    <w:rsid w:val="001D0EDE"/>
    <w:rsid w:val="001D4A7E"/>
    <w:rsid w:val="001E0115"/>
    <w:rsid w:val="001E645F"/>
    <w:rsid w:val="001F062E"/>
    <w:rsid w:val="001F09BC"/>
    <w:rsid w:val="001F1AC8"/>
    <w:rsid w:val="001F20A5"/>
    <w:rsid w:val="001F42DA"/>
    <w:rsid w:val="001F4BD4"/>
    <w:rsid w:val="001F5839"/>
    <w:rsid w:val="001F614C"/>
    <w:rsid w:val="00202D74"/>
    <w:rsid w:val="00214197"/>
    <w:rsid w:val="00216674"/>
    <w:rsid w:val="00217B0C"/>
    <w:rsid w:val="002218B6"/>
    <w:rsid w:val="0022249E"/>
    <w:rsid w:val="0022330D"/>
    <w:rsid w:val="00223A51"/>
    <w:rsid w:val="00225E15"/>
    <w:rsid w:val="00226389"/>
    <w:rsid w:val="00227913"/>
    <w:rsid w:val="00232780"/>
    <w:rsid w:val="002337DE"/>
    <w:rsid w:val="00234909"/>
    <w:rsid w:val="00235D0D"/>
    <w:rsid w:val="00236FEE"/>
    <w:rsid w:val="002417A1"/>
    <w:rsid w:val="00242ABE"/>
    <w:rsid w:val="00243B9E"/>
    <w:rsid w:val="0024623B"/>
    <w:rsid w:val="00247FC4"/>
    <w:rsid w:val="00250488"/>
    <w:rsid w:val="00250B54"/>
    <w:rsid w:val="00250F05"/>
    <w:rsid w:val="002537AD"/>
    <w:rsid w:val="002540D7"/>
    <w:rsid w:val="00254C4C"/>
    <w:rsid w:val="002564E1"/>
    <w:rsid w:val="002564F9"/>
    <w:rsid w:val="002577C6"/>
    <w:rsid w:val="002619CE"/>
    <w:rsid w:val="00262F45"/>
    <w:rsid w:val="0026320E"/>
    <w:rsid w:val="00263B8F"/>
    <w:rsid w:val="002640DB"/>
    <w:rsid w:val="00264B4E"/>
    <w:rsid w:val="00266706"/>
    <w:rsid w:val="00270C9B"/>
    <w:rsid w:val="0027131B"/>
    <w:rsid w:val="00271398"/>
    <w:rsid w:val="002718F5"/>
    <w:rsid w:val="00272C1A"/>
    <w:rsid w:val="00273FBC"/>
    <w:rsid w:val="00274064"/>
    <w:rsid w:val="002751E4"/>
    <w:rsid w:val="002768F2"/>
    <w:rsid w:val="0028431F"/>
    <w:rsid w:val="002851C2"/>
    <w:rsid w:val="002851F0"/>
    <w:rsid w:val="00290323"/>
    <w:rsid w:val="00290A5C"/>
    <w:rsid w:val="00290DC0"/>
    <w:rsid w:val="00291C70"/>
    <w:rsid w:val="00292056"/>
    <w:rsid w:val="0029576C"/>
    <w:rsid w:val="0029703E"/>
    <w:rsid w:val="002A07ED"/>
    <w:rsid w:val="002A1DDD"/>
    <w:rsid w:val="002A2A21"/>
    <w:rsid w:val="002A549B"/>
    <w:rsid w:val="002A5956"/>
    <w:rsid w:val="002B1A7A"/>
    <w:rsid w:val="002B3399"/>
    <w:rsid w:val="002B366A"/>
    <w:rsid w:val="002B5BED"/>
    <w:rsid w:val="002B6F4C"/>
    <w:rsid w:val="002C006A"/>
    <w:rsid w:val="002C39BC"/>
    <w:rsid w:val="002C489A"/>
    <w:rsid w:val="002C65A2"/>
    <w:rsid w:val="002C7C1B"/>
    <w:rsid w:val="002D0005"/>
    <w:rsid w:val="002D0B5D"/>
    <w:rsid w:val="002D124D"/>
    <w:rsid w:val="002D2186"/>
    <w:rsid w:val="002D21AA"/>
    <w:rsid w:val="002D2799"/>
    <w:rsid w:val="002D2A48"/>
    <w:rsid w:val="002E0463"/>
    <w:rsid w:val="002E0F3B"/>
    <w:rsid w:val="002E1851"/>
    <w:rsid w:val="002E1B11"/>
    <w:rsid w:val="002F0387"/>
    <w:rsid w:val="002F3EE4"/>
    <w:rsid w:val="002F4794"/>
    <w:rsid w:val="002F589C"/>
    <w:rsid w:val="002F6534"/>
    <w:rsid w:val="00300119"/>
    <w:rsid w:val="0030011B"/>
    <w:rsid w:val="003009AB"/>
    <w:rsid w:val="00301835"/>
    <w:rsid w:val="00301DD7"/>
    <w:rsid w:val="00304A32"/>
    <w:rsid w:val="00307130"/>
    <w:rsid w:val="0031168E"/>
    <w:rsid w:val="0031228A"/>
    <w:rsid w:val="0031382F"/>
    <w:rsid w:val="0031555C"/>
    <w:rsid w:val="00317BAD"/>
    <w:rsid w:val="00321CE2"/>
    <w:rsid w:val="003273D5"/>
    <w:rsid w:val="00334393"/>
    <w:rsid w:val="003366AA"/>
    <w:rsid w:val="00341D99"/>
    <w:rsid w:val="00345312"/>
    <w:rsid w:val="00351256"/>
    <w:rsid w:val="003539BF"/>
    <w:rsid w:val="00354D1F"/>
    <w:rsid w:val="00363202"/>
    <w:rsid w:val="003668EE"/>
    <w:rsid w:val="00366B75"/>
    <w:rsid w:val="003768D8"/>
    <w:rsid w:val="00381759"/>
    <w:rsid w:val="00383C42"/>
    <w:rsid w:val="00384832"/>
    <w:rsid w:val="00385EE7"/>
    <w:rsid w:val="0038788E"/>
    <w:rsid w:val="003A11CD"/>
    <w:rsid w:val="003A5B11"/>
    <w:rsid w:val="003A6501"/>
    <w:rsid w:val="003A7797"/>
    <w:rsid w:val="003A7C64"/>
    <w:rsid w:val="003B0F23"/>
    <w:rsid w:val="003B1E72"/>
    <w:rsid w:val="003B2336"/>
    <w:rsid w:val="003B51ED"/>
    <w:rsid w:val="003B78D9"/>
    <w:rsid w:val="003B7A75"/>
    <w:rsid w:val="003C3C3F"/>
    <w:rsid w:val="003C57E7"/>
    <w:rsid w:val="003C7019"/>
    <w:rsid w:val="003D0C28"/>
    <w:rsid w:val="003D11E8"/>
    <w:rsid w:val="003D11EF"/>
    <w:rsid w:val="003D1882"/>
    <w:rsid w:val="003D2FF9"/>
    <w:rsid w:val="003D6CE4"/>
    <w:rsid w:val="003E0958"/>
    <w:rsid w:val="003E174C"/>
    <w:rsid w:val="003E21F2"/>
    <w:rsid w:val="003E5FAA"/>
    <w:rsid w:val="003E718D"/>
    <w:rsid w:val="003F2424"/>
    <w:rsid w:val="003F3B15"/>
    <w:rsid w:val="004029EF"/>
    <w:rsid w:val="00404BB4"/>
    <w:rsid w:val="004068E4"/>
    <w:rsid w:val="00406CF4"/>
    <w:rsid w:val="00410257"/>
    <w:rsid w:val="004102C3"/>
    <w:rsid w:val="00411742"/>
    <w:rsid w:val="00411ACE"/>
    <w:rsid w:val="00412096"/>
    <w:rsid w:val="00412313"/>
    <w:rsid w:val="00413C2D"/>
    <w:rsid w:val="0041529F"/>
    <w:rsid w:val="00415D04"/>
    <w:rsid w:val="00420181"/>
    <w:rsid w:val="00420C1C"/>
    <w:rsid w:val="00424B47"/>
    <w:rsid w:val="004262ED"/>
    <w:rsid w:val="00431535"/>
    <w:rsid w:val="00435A50"/>
    <w:rsid w:val="004373AF"/>
    <w:rsid w:val="00441259"/>
    <w:rsid w:val="00443028"/>
    <w:rsid w:val="00444087"/>
    <w:rsid w:val="00444EAC"/>
    <w:rsid w:val="004465C4"/>
    <w:rsid w:val="004467DA"/>
    <w:rsid w:val="00446807"/>
    <w:rsid w:val="00447690"/>
    <w:rsid w:val="0045081E"/>
    <w:rsid w:val="00450C7E"/>
    <w:rsid w:val="0045224E"/>
    <w:rsid w:val="004543BC"/>
    <w:rsid w:val="00455289"/>
    <w:rsid w:val="004572E0"/>
    <w:rsid w:val="00457632"/>
    <w:rsid w:val="00457FC7"/>
    <w:rsid w:val="00460232"/>
    <w:rsid w:val="00460993"/>
    <w:rsid w:val="00463F74"/>
    <w:rsid w:val="00465B17"/>
    <w:rsid w:val="00467C6B"/>
    <w:rsid w:val="00472815"/>
    <w:rsid w:val="00473DEE"/>
    <w:rsid w:val="00481228"/>
    <w:rsid w:val="0048150E"/>
    <w:rsid w:val="00485675"/>
    <w:rsid w:val="0049061F"/>
    <w:rsid w:val="004935F2"/>
    <w:rsid w:val="0049391A"/>
    <w:rsid w:val="004943DE"/>
    <w:rsid w:val="004964A4"/>
    <w:rsid w:val="00497057"/>
    <w:rsid w:val="0049736E"/>
    <w:rsid w:val="004A065E"/>
    <w:rsid w:val="004A28B9"/>
    <w:rsid w:val="004A2B43"/>
    <w:rsid w:val="004A3BCF"/>
    <w:rsid w:val="004A46B9"/>
    <w:rsid w:val="004B3150"/>
    <w:rsid w:val="004B33A0"/>
    <w:rsid w:val="004B3B03"/>
    <w:rsid w:val="004B42DB"/>
    <w:rsid w:val="004B4CFF"/>
    <w:rsid w:val="004B67F7"/>
    <w:rsid w:val="004B7B84"/>
    <w:rsid w:val="004B7C59"/>
    <w:rsid w:val="004C025C"/>
    <w:rsid w:val="004C0A84"/>
    <w:rsid w:val="004C1299"/>
    <w:rsid w:val="004C1408"/>
    <w:rsid w:val="004D0890"/>
    <w:rsid w:val="004D1CEB"/>
    <w:rsid w:val="004D31E2"/>
    <w:rsid w:val="004D3D9B"/>
    <w:rsid w:val="004D4F2E"/>
    <w:rsid w:val="004D65F0"/>
    <w:rsid w:val="004D6AD8"/>
    <w:rsid w:val="004E1041"/>
    <w:rsid w:val="004E2DCD"/>
    <w:rsid w:val="004E46AF"/>
    <w:rsid w:val="004E5DEE"/>
    <w:rsid w:val="004E67CD"/>
    <w:rsid w:val="004F2212"/>
    <w:rsid w:val="004F4116"/>
    <w:rsid w:val="00500F8B"/>
    <w:rsid w:val="00501F02"/>
    <w:rsid w:val="00505471"/>
    <w:rsid w:val="00505F00"/>
    <w:rsid w:val="0050716D"/>
    <w:rsid w:val="00511A07"/>
    <w:rsid w:val="0051456A"/>
    <w:rsid w:val="005159BA"/>
    <w:rsid w:val="00515AEF"/>
    <w:rsid w:val="00516C6B"/>
    <w:rsid w:val="005208EA"/>
    <w:rsid w:val="00531D32"/>
    <w:rsid w:val="0053333D"/>
    <w:rsid w:val="00534464"/>
    <w:rsid w:val="00535A7F"/>
    <w:rsid w:val="005365DC"/>
    <w:rsid w:val="00536F91"/>
    <w:rsid w:val="00537F1C"/>
    <w:rsid w:val="00540CDA"/>
    <w:rsid w:val="00545995"/>
    <w:rsid w:val="005510E2"/>
    <w:rsid w:val="00551DF8"/>
    <w:rsid w:val="00556E21"/>
    <w:rsid w:val="0055707F"/>
    <w:rsid w:val="00557452"/>
    <w:rsid w:val="00561831"/>
    <w:rsid w:val="00562734"/>
    <w:rsid w:val="00564587"/>
    <w:rsid w:val="00565F3B"/>
    <w:rsid w:val="005672F7"/>
    <w:rsid w:val="00571967"/>
    <w:rsid w:val="00574E79"/>
    <w:rsid w:val="005849F1"/>
    <w:rsid w:val="00585C59"/>
    <w:rsid w:val="005874B0"/>
    <w:rsid w:val="00591BA1"/>
    <w:rsid w:val="00594129"/>
    <w:rsid w:val="00596A4D"/>
    <w:rsid w:val="005A2543"/>
    <w:rsid w:val="005A3872"/>
    <w:rsid w:val="005A596D"/>
    <w:rsid w:val="005A6F12"/>
    <w:rsid w:val="005A7288"/>
    <w:rsid w:val="005B0CC9"/>
    <w:rsid w:val="005B3512"/>
    <w:rsid w:val="005B54CB"/>
    <w:rsid w:val="005B64C9"/>
    <w:rsid w:val="005C0110"/>
    <w:rsid w:val="005C1A51"/>
    <w:rsid w:val="005C4B9C"/>
    <w:rsid w:val="005C6869"/>
    <w:rsid w:val="005C6B5C"/>
    <w:rsid w:val="005D3844"/>
    <w:rsid w:val="005D3A69"/>
    <w:rsid w:val="005D57C6"/>
    <w:rsid w:val="005D72AD"/>
    <w:rsid w:val="005E44D0"/>
    <w:rsid w:val="005E4BA4"/>
    <w:rsid w:val="005E5E68"/>
    <w:rsid w:val="005E5FEC"/>
    <w:rsid w:val="005E62D0"/>
    <w:rsid w:val="005E64AC"/>
    <w:rsid w:val="005E77AB"/>
    <w:rsid w:val="005F01DE"/>
    <w:rsid w:val="005F1A19"/>
    <w:rsid w:val="005F3D39"/>
    <w:rsid w:val="005F40F0"/>
    <w:rsid w:val="005F5CF7"/>
    <w:rsid w:val="00605BBE"/>
    <w:rsid w:val="006067B8"/>
    <w:rsid w:val="00606A16"/>
    <w:rsid w:val="00607174"/>
    <w:rsid w:val="006077DF"/>
    <w:rsid w:val="00614111"/>
    <w:rsid w:val="006148D2"/>
    <w:rsid w:val="00615A1E"/>
    <w:rsid w:val="00616471"/>
    <w:rsid w:val="0061682C"/>
    <w:rsid w:val="0062073B"/>
    <w:rsid w:val="00620E0F"/>
    <w:rsid w:val="00624F43"/>
    <w:rsid w:val="006301DF"/>
    <w:rsid w:val="006326B4"/>
    <w:rsid w:val="00632A99"/>
    <w:rsid w:val="00633E33"/>
    <w:rsid w:val="006358B5"/>
    <w:rsid w:val="00644172"/>
    <w:rsid w:val="0064495C"/>
    <w:rsid w:val="00646E67"/>
    <w:rsid w:val="0064736E"/>
    <w:rsid w:val="00650BE6"/>
    <w:rsid w:val="006517AF"/>
    <w:rsid w:val="00652A92"/>
    <w:rsid w:val="00652D92"/>
    <w:rsid w:val="00653E21"/>
    <w:rsid w:val="006557CB"/>
    <w:rsid w:val="00655D53"/>
    <w:rsid w:val="0066011F"/>
    <w:rsid w:val="00661055"/>
    <w:rsid w:val="00661124"/>
    <w:rsid w:val="0066251B"/>
    <w:rsid w:val="00664703"/>
    <w:rsid w:val="0066632E"/>
    <w:rsid w:val="0067095E"/>
    <w:rsid w:val="0067608F"/>
    <w:rsid w:val="00676E99"/>
    <w:rsid w:val="00677EC5"/>
    <w:rsid w:val="00680913"/>
    <w:rsid w:val="00681DE5"/>
    <w:rsid w:val="006840BC"/>
    <w:rsid w:val="006850AF"/>
    <w:rsid w:val="00685E38"/>
    <w:rsid w:val="00686EE0"/>
    <w:rsid w:val="0068792D"/>
    <w:rsid w:val="006916D4"/>
    <w:rsid w:val="00693BF9"/>
    <w:rsid w:val="006A0B80"/>
    <w:rsid w:val="006A0FD7"/>
    <w:rsid w:val="006A26F8"/>
    <w:rsid w:val="006A498D"/>
    <w:rsid w:val="006A56EF"/>
    <w:rsid w:val="006A6570"/>
    <w:rsid w:val="006A72EB"/>
    <w:rsid w:val="006B121A"/>
    <w:rsid w:val="006C0BEF"/>
    <w:rsid w:val="006C1CB6"/>
    <w:rsid w:val="006C49D8"/>
    <w:rsid w:val="006D3931"/>
    <w:rsid w:val="006D594D"/>
    <w:rsid w:val="006D5AE4"/>
    <w:rsid w:val="006D61BD"/>
    <w:rsid w:val="006E01EA"/>
    <w:rsid w:val="006E0FB4"/>
    <w:rsid w:val="006E11C2"/>
    <w:rsid w:val="006E32B9"/>
    <w:rsid w:val="006E4AA8"/>
    <w:rsid w:val="006E7609"/>
    <w:rsid w:val="006F1B59"/>
    <w:rsid w:val="006F2D6D"/>
    <w:rsid w:val="006F45C1"/>
    <w:rsid w:val="006F5281"/>
    <w:rsid w:val="007055B8"/>
    <w:rsid w:val="00707033"/>
    <w:rsid w:val="00710527"/>
    <w:rsid w:val="00710A68"/>
    <w:rsid w:val="00711EE5"/>
    <w:rsid w:val="00712849"/>
    <w:rsid w:val="00713246"/>
    <w:rsid w:val="00716A4C"/>
    <w:rsid w:val="00720DAB"/>
    <w:rsid w:val="00722AC1"/>
    <w:rsid w:val="00723DCA"/>
    <w:rsid w:val="00726530"/>
    <w:rsid w:val="00727A3A"/>
    <w:rsid w:val="0073150D"/>
    <w:rsid w:val="00731B27"/>
    <w:rsid w:val="00733D91"/>
    <w:rsid w:val="0073469F"/>
    <w:rsid w:val="00740D52"/>
    <w:rsid w:val="00741362"/>
    <w:rsid w:val="0074245D"/>
    <w:rsid w:val="00747433"/>
    <w:rsid w:val="00753E31"/>
    <w:rsid w:val="00754618"/>
    <w:rsid w:val="00756CCD"/>
    <w:rsid w:val="007600FB"/>
    <w:rsid w:val="0076410C"/>
    <w:rsid w:val="007670A0"/>
    <w:rsid w:val="00767D23"/>
    <w:rsid w:val="00767F6B"/>
    <w:rsid w:val="0077064D"/>
    <w:rsid w:val="00773A49"/>
    <w:rsid w:val="00774F35"/>
    <w:rsid w:val="00774FA2"/>
    <w:rsid w:val="00775202"/>
    <w:rsid w:val="00776F0D"/>
    <w:rsid w:val="00786D93"/>
    <w:rsid w:val="00786E83"/>
    <w:rsid w:val="00790849"/>
    <w:rsid w:val="00794114"/>
    <w:rsid w:val="00797F67"/>
    <w:rsid w:val="007A11B1"/>
    <w:rsid w:val="007A1708"/>
    <w:rsid w:val="007A2880"/>
    <w:rsid w:val="007B2596"/>
    <w:rsid w:val="007C174B"/>
    <w:rsid w:val="007D2080"/>
    <w:rsid w:val="007D3EF6"/>
    <w:rsid w:val="007D4D28"/>
    <w:rsid w:val="007D661E"/>
    <w:rsid w:val="007D685A"/>
    <w:rsid w:val="007D763A"/>
    <w:rsid w:val="007E001D"/>
    <w:rsid w:val="007E1444"/>
    <w:rsid w:val="007E4DE1"/>
    <w:rsid w:val="007E74FD"/>
    <w:rsid w:val="007E7F80"/>
    <w:rsid w:val="007F00D4"/>
    <w:rsid w:val="007F1410"/>
    <w:rsid w:val="007F2054"/>
    <w:rsid w:val="007F7837"/>
    <w:rsid w:val="008006EA"/>
    <w:rsid w:val="00803AFD"/>
    <w:rsid w:val="00804E64"/>
    <w:rsid w:val="008104F7"/>
    <w:rsid w:val="00810A27"/>
    <w:rsid w:val="00820EB8"/>
    <w:rsid w:val="008222F7"/>
    <w:rsid w:val="00822B66"/>
    <w:rsid w:val="008250A7"/>
    <w:rsid w:val="00825551"/>
    <w:rsid w:val="00825EE7"/>
    <w:rsid w:val="0083147D"/>
    <w:rsid w:val="00832379"/>
    <w:rsid w:val="00836118"/>
    <w:rsid w:val="0084075E"/>
    <w:rsid w:val="008440C6"/>
    <w:rsid w:val="00844EC8"/>
    <w:rsid w:val="00850B3F"/>
    <w:rsid w:val="00851C5D"/>
    <w:rsid w:val="00851C88"/>
    <w:rsid w:val="008521B3"/>
    <w:rsid w:val="00854313"/>
    <w:rsid w:val="00855AE4"/>
    <w:rsid w:val="00855B3D"/>
    <w:rsid w:val="00855E5F"/>
    <w:rsid w:val="00855F54"/>
    <w:rsid w:val="008601CF"/>
    <w:rsid w:val="008609F5"/>
    <w:rsid w:val="008621E1"/>
    <w:rsid w:val="00862AA9"/>
    <w:rsid w:val="00862B8B"/>
    <w:rsid w:val="00864AAD"/>
    <w:rsid w:val="00864C5B"/>
    <w:rsid w:val="00866FC9"/>
    <w:rsid w:val="008718F8"/>
    <w:rsid w:val="00872008"/>
    <w:rsid w:val="00874455"/>
    <w:rsid w:val="00880F66"/>
    <w:rsid w:val="008830A9"/>
    <w:rsid w:val="00884C36"/>
    <w:rsid w:val="008859EB"/>
    <w:rsid w:val="008865E4"/>
    <w:rsid w:val="0089111F"/>
    <w:rsid w:val="008935CF"/>
    <w:rsid w:val="00893EA6"/>
    <w:rsid w:val="00894303"/>
    <w:rsid w:val="008943B4"/>
    <w:rsid w:val="008968D4"/>
    <w:rsid w:val="008A03D2"/>
    <w:rsid w:val="008A1016"/>
    <w:rsid w:val="008A1586"/>
    <w:rsid w:val="008A274E"/>
    <w:rsid w:val="008A6658"/>
    <w:rsid w:val="008A74CA"/>
    <w:rsid w:val="008A7959"/>
    <w:rsid w:val="008B19AE"/>
    <w:rsid w:val="008B1B10"/>
    <w:rsid w:val="008B2A85"/>
    <w:rsid w:val="008B2DC3"/>
    <w:rsid w:val="008B3994"/>
    <w:rsid w:val="008B502F"/>
    <w:rsid w:val="008B6920"/>
    <w:rsid w:val="008B78A8"/>
    <w:rsid w:val="008C2B18"/>
    <w:rsid w:val="008C42D8"/>
    <w:rsid w:val="008D0098"/>
    <w:rsid w:val="008D080D"/>
    <w:rsid w:val="008D0F0D"/>
    <w:rsid w:val="008D4766"/>
    <w:rsid w:val="008D6963"/>
    <w:rsid w:val="008D6CE3"/>
    <w:rsid w:val="008D7DDB"/>
    <w:rsid w:val="008E32DE"/>
    <w:rsid w:val="008E4108"/>
    <w:rsid w:val="008E5F50"/>
    <w:rsid w:val="008E7C69"/>
    <w:rsid w:val="008F49CF"/>
    <w:rsid w:val="008F591D"/>
    <w:rsid w:val="008F5B0F"/>
    <w:rsid w:val="008F7C67"/>
    <w:rsid w:val="009026E3"/>
    <w:rsid w:val="00903C54"/>
    <w:rsid w:val="00904E2C"/>
    <w:rsid w:val="00905A1C"/>
    <w:rsid w:val="00906447"/>
    <w:rsid w:val="00906A50"/>
    <w:rsid w:val="009114B9"/>
    <w:rsid w:val="009138A7"/>
    <w:rsid w:val="00913A97"/>
    <w:rsid w:val="0091561C"/>
    <w:rsid w:val="00916147"/>
    <w:rsid w:val="009261FC"/>
    <w:rsid w:val="00927FDB"/>
    <w:rsid w:val="00937CC7"/>
    <w:rsid w:val="009411A6"/>
    <w:rsid w:val="00941B9C"/>
    <w:rsid w:val="00944450"/>
    <w:rsid w:val="009500C6"/>
    <w:rsid w:val="00951E79"/>
    <w:rsid w:val="00952307"/>
    <w:rsid w:val="0095328F"/>
    <w:rsid w:val="00953763"/>
    <w:rsid w:val="00957070"/>
    <w:rsid w:val="0096076B"/>
    <w:rsid w:val="00963974"/>
    <w:rsid w:val="00967B7C"/>
    <w:rsid w:val="00975BFC"/>
    <w:rsid w:val="00976586"/>
    <w:rsid w:val="00977128"/>
    <w:rsid w:val="0097752E"/>
    <w:rsid w:val="00977E67"/>
    <w:rsid w:val="00981F3C"/>
    <w:rsid w:val="00982535"/>
    <w:rsid w:val="00982B91"/>
    <w:rsid w:val="00985E29"/>
    <w:rsid w:val="00987151"/>
    <w:rsid w:val="00987C56"/>
    <w:rsid w:val="00990962"/>
    <w:rsid w:val="009941DA"/>
    <w:rsid w:val="00995131"/>
    <w:rsid w:val="0099536F"/>
    <w:rsid w:val="00996AE1"/>
    <w:rsid w:val="00997580"/>
    <w:rsid w:val="00997CCE"/>
    <w:rsid w:val="009A03A3"/>
    <w:rsid w:val="009A1B6E"/>
    <w:rsid w:val="009A4470"/>
    <w:rsid w:val="009A5607"/>
    <w:rsid w:val="009A65FB"/>
    <w:rsid w:val="009A6A66"/>
    <w:rsid w:val="009B16A1"/>
    <w:rsid w:val="009B1A5F"/>
    <w:rsid w:val="009B30BC"/>
    <w:rsid w:val="009B3608"/>
    <w:rsid w:val="009B3D9C"/>
    <w:rsid w:val="009B4EF4"/>
    <w:rsid w:val="009B55A7"/>
    <w:rsid w:val="009B5609"/>
    <w:rsid w:val="009B5796"/>
    <w:rsid w:val="009B79EA"/>
    <w:rsid w:val="009C01D1"/>
    <w:rsid w:val="009C0831"/>
    <w:rsid w:val="009C0942"/>
    <w:rsid w:val="009C0F6F"/>
    <w:rsid w:val="009C164D"/>
    <w:rsid w:val="009C2DE6"/>
    <w:rsid w:val="009C72C3"/>
    <w:rsid w:val="009D0F04"/>
    <w:rsid w:val="009D1CBC"/>
    <w:rsid w:val="009D3244"/>
    <w:rsid w:val="009D64E1"/>
    <w:rsid w:val="009D6FCC"/>
    <w:rsid w:val="009E05CC"/>
    <w:rsid w:val="009E121B"/>
    <w:rsid w:val="009E2903"/>
    <w:rsid w:val="009E29F4"/>
    <w:rsid w:val="009E4837"/>
    <w:rsid w:val="009E6DB0"/>
    <w:rsid w:val="009F069B"/>
    <w:rsid w:val="009F1281"/>
    <w:rsid w:val="009F14F2"/>
    <w:rsid w:val="009F1566"/>
    <w:rsid w:val="009F5C8D"/>
    <w:rsid w:val="00A03170"/>
    <w:rsid w:val="00A06333"/>
    <w:rsid w:val="00A1556D"/>
    <w:rsid w:val="00A173F2"/>
    <w:rsid w:val="00A2118A"/>
    <w:rsid w:val="00A214DF"/>
    <w:rsid w:val="00A21FC2"/>
    <w:rsid w:val="00A231C3"/>
    <w:rsid w:val="00A24C74"/>
    <w:rsid w:val="00A24E39"/>
    <w:rsid w:val="00A25B12"/>
    <w:rsid w:val="00A30227"/>
    <w:rsid w:val="00A3249F"/>
    <w:rsid w:val="00A35E50"/>
    <w:rsid w:val="00A3673A"/>
    <w:rsid w:val="00A36769"/>
    <w:rsid w:val="00A412F4"/>
    <w:rsid w:val="00A43755"/>
    <w:rsid w:val="00A4484D"/>
    <w:rsid w:val="00A47DDD"/>
    <w:rsid w:val="00A47FC7"/>
    <w:rsid w:val="00A5006B"/>
    <w:rsid w:val="00A50B92"/>
    <w:rsid w:val="00A51BAE"/>
    <w:rsid w:val="00A52061"/>
    <w:rsid w:val="00A62C4F"/>
    <w:rsid w:val="00A63295"/>
    <w:rsid w:val="00A6659F"/>
    <w:rsid w:val="00A70388"/>
    <w:rsid w:val="00A7141C"/>
    <w:rsid w:val="00A71CEC"/>
    <w:rsid w:val="00A73BAC"/>
    <w:rsid w:val="00A7433F"/>
    <w:rsid w:val="00A77F25"/>
    <w:rsid w:val="00A807A4"/>
    <w:rsid w:val="00A81B6B"/>
    <w:rsid w:val="00A84059"/>
    <w:rsid w:val="00A84C3C"/>
    <w:rsid w:val="00A8537E"/>
    <w:rsid w:val="00A853B4"/>
    <w:rsid w:val="00A86683"/>
    <w:rsid w:val="00A903D9"/>
    <w:rsid w:val="00A91400"/>
    <w:rsid w:val="00A97741"/>
    <w:rsid w:val="00A97E10"/>
    <w:rsid w:val="00AA1EC5"/>
    <w:rsid w:val="00AA2475"/>
    <w:rsid w:val="00AB1102"/>
    <w:rsid w:val="00AB184D"/>
    <w:rsid w:val="00AB2F00"/>
    <w:rsid w:val="00AB3615"/>
    <w:rsid w:val="00AB3CB9"/>
    <w:rsid w:val="00AB3FF7"/>
    <w:rsid w:val="00AB40B2"/>
    <w:rsid w:val="00AB59E0"/>
    <w:rsid w:val="00AC24DD"/>
    <w:rsid w:val="00AC3893"/>
    <w:rsid w:val="00AC4FA2"/>
    <w:rsid w:val="00AC5A06"/>
    <w:rsid w:val="00AC6BC5"/>
    <w:rsid w:val="00AC767B"/>
    <w:rsid w:val="00AD117F"/>
    <w:rsid w:val="00AD1188"/>
    <w:rsid w:val="00AD2EBF"/>
    <w:rsid w:val="00AD3185"/>
    <w:rsid w:val="00AE2784"/>
    <w:rsid w:val="00AE75FA"/>
    <w:rsid w:val="00AF2B04"/>
    <w:rsid w:val="00AF2BD4"/>
    <w:rsid w:val="00AF4CB4"/>
    <w:rsid w:val="00AF6009"/>
    <w:rsid w:val="00AF7594"/>
    <w:rsid w:val="00B0421E"/>
    <w:rsid w:val="00B049CD"/>
    <w:rsid w:val="00B057CF"/>
    <w:rsid w:val="00B05A99"/>
    <w:rsid w:val="00B06963"/>
    <w:rsid w:val="00B12320"/>
    <w:rsid w:val="00B14453"/>
    <w:rsid w:val="00B20688"/>
    <w:rsid w:val="00B228E4"/>
    <w:rsid w:val="00B2346E"/>
    <w:rsid w:val="00B24217"/>
    <w:rsid w:val="00B247E2"/>
    <w:rsid w:val="00B252B4"/>
    <w:rsid w:val="00B319C3"/>
    <w:rsid w:val="00B34972"/>
    <w:rsid w:val="00B40B84"/>
    <w:rsid w:val="00B4102A"/>
    <w:rsid w:val="00B41060"/>
    <w:rsid w:val="00B41A62"/>
    <w:rsid w:val="00B41D10"/>
    <w:rsid w:val="00B4252A"/>
    <w:rsid w:val="00B42FDE"/>
    <w:rsid w:val="00B43BBC"/>
    <w:rsid w:val="00B43E47"/>
    <w:rsid w:val="00B467A4"/>
    <w:rsid w:val="00B477BB"/>
    <w:rsid w:val="00B52011"/>
    <w:rsid w:val="00B5216C"/>
    <w:rsid w:val="00B52AB4"/>
    <w:rsid w:val="00B52C98"/>
    <w:rsid w:val="00B536C5"/>
    <w:rsid w:val="00B544A9"/>
    <w:rsid w:val="00B60C23"/>
    <w:rsid w:val="00B66514"/>
    <w:rsid w:val="00B66C26"/>
    <w:rsid w:val="00B6716B"/>
    <w:rsid w:val="00B676A3"/>
    <w:rsid w:val="00B6775F"/>
    <w:rsid w:val="00B7492B"/>
    <w:rsid w:val="00B75CA1"/>
    <w:rsid w:val="00B824AE"/>
    <w:rsid w:val="00B844CE"/>
    <w:rsid w:val="00B86D75"/>
    <w:rsid w:val="00B90989"/>
    <w:rsid w:val="00B91CF8"/>
    <w:rsid w:val="00B91FD9"/>
    <w:rsid w:val="00B92EF7"/>
    <w:rsid w:val="00B93B6D"/>
    <w:rsid w:val="00BA0710"/>
    <w:rsid w:val="00BA1EA9"/>
    <w:rsid w:val="00BA6C90"/>
    <w:rsid w:val="00BB2BF5"/>
    <w:rsid w:val="00BB361E"/>
    <w:rsid w:val="00BB3C35"/>
    <w:rsid w:val="00BB4B00"/>
    <w:rsid w:val="00BB7B9A"/>
    <w:rsid w:val="00BC5B8F"/>
    <w:rsid w:val="00BC6144"/>
    <w:rsid w:val="00BC6CAB"/>
    <w:rsid w:val="00BD08DC"/>
    <w:rsid w:val="00BD2B1A"/>
    <w:rsid w:val="00BD7517"/>
    <w:rsid w:val="00BD7AE5"/>
    <w:rsid w:val="00BD7F1C"/>
    <w:rsid w:val="00BE5B78"/>
    <w:rsid w:val="00BE7AA5"/>
    <w:rsid w:val="00BF14FB"/>
    <w:rsid w:val="00BF373C"/>
    <w:rsid w:val="00BF5F63"/>
    <w:rsid w:val="00BF6003"/>
    <w:rsid w:val="00BF7785"/>
    <w:rsid w:val="00C000B6"/>
    <w:rsid w:val="00C00DC8"/>
    <w:rsid w:val="00C01122"/>
    <w:rsid w:val="00C03450"/>
    <w:rsid w:val="00C038BD"/>
    <w:rsid w:val="00C06AE3"/>
    <w:rsid w:val="00C06EBD"/>
    <w:rsid w:val="00C137A5"/>
    <w:rsid w:val="00C1426F"/>
    <w:rsid w:val="00C203DB"/>
    <w:rsid w:val="00C2309E"/>
    <w:rsid w:val="00C272EE"/>
    <w:rsid w:val="00C30572"/>
    <w:rsid w:val="00C31C7D"/>
    <w:rsid w:val="00C33179"/>
    <w:rsid w:val="00C3530B"/>
    <w:rsid w:val="00C35847"/>
    <w:rsid w:val="00C41EDE"/>
    <w:rsid w:val="00C4432B"/>
    <w:rsid w:val="00C44C7A"/>
    <w:rsid w:val="00C4502A"/>
    <w:rsid w:val="00C4682A"/>
    <w:rsid w:val="00C50499"/>
    <w:rsid w:val="00C54330"/>
    <w:rsid w:val="00C555FC"/>
    <w:rsid w:val="00C56B8B"/>
    <w:rsid w:val="00C577CE"/>
    <w:rsid w:val="00C61585"/>
    <w:rsid w:val="00C6422E"/>
    <w:rsid w:val="00C66ED2"/>
    <w:rsid w:val="00C70056"/>
    <w:rsid w:val="00C83C6A"/>
    <w:rsid w:val="00C86651"/>
    <w:rsid w:val="00C87F39"/>
    <w:rsid w:val="00C919BC"/>
    <w:rsid w:val="00C94D1A"/>
    <w:rsid w:val="00C96EE6"/>
    <w:rsid w:val="00C973B6"/>
    <w:rsid w:val="00CA53D6"/>
    <w:rsid w:val="00CA5B98"/>
    <w:rsid w:val="00CA7358"/>
    <w:rsid w:val="00CB0711"/>
    <w:rsid w:val="00CB1305"/>
    <w:rsid w:val="00CB305A"/>
    <w:rsid w:val="00CB490D"/>
    <w:rsid w:val="00CB7199"/>
    <w:rsid w:val="00CC2E13"/>
    <w:rsid w:val="00CC39CC"/>
    <w:rsid w:val="00CC5593"/>
    <w:rsid w:val="00CC7122"/>
    <w:rsid w:val="00CD0947"/>
    <w:rsid w:val="00CD4BBB"/>
    <w:rsid w:val="00CE0383"/>
    <w:rsid w:val="00CE073C"/>
    <w:rsid w:val="00CE1634"/>
    <w:rsid w:val="00CE2F63"/>
    <w:rsid w:val="00CE35CC"/>
    <w:rsid w:val="00CE42C7"/>
    <w:rsid w:val="00CE4869"/>
    <w:rsid w:val="00CE6425"/>
    <w:rsid w:val="00CE71C1"/>
    <w:rsid w:val="00CF0754"/>
    <w:rsid w:val="00CF3100"/>
    <w:rsid w:val="00CF4EBC"/>
    <w:rsid w:val="00D030CE"/>
    <w:rsid w:val="00D05CF1"/>
    <w:rsid w:val="00D074EC"/>
    <w:rsid w:val="00D11BB3"/>
    <w:rsid w:val="00D15580"/>
    <w:rsid w:val="00D15857"/>
    <w:rsid w:val="00D15921"/>
    <w:rsid w:val="00D173CD"/>
    <w:rsid w:val="00D17ABE"/>
    <w:rsid w:val="00D17AF1"/>
    <w:rsid w:val="00D20CF2"/>
    <w:rsid w:val="00D216CE"/>
    <w:rsid w:val="00D22822"/>
    <w:rsid w:val="00D234C7"/>
    <w:rsid w:val="00D2395D"/>
    <w:rsid w:val="00D26BD2"/>
    <w:rsid w:val="00D27407"/>
    <w:rsid w:val="00D35CBD"/>
    <w:rsid w:val="00D374E4"/>
    <w:rsid w:val="00D40F2A"/>
    <w:rsid w:val="00D42758"/>
    <w:rsid w:val="00D44F61"/>
    <w:rsid w:val="00D504E1"/>
    <w:rsid w:val="00D5283A"/>
    <w:rsid w:val="00D56875"/>
    <w:rsid w:val="00D62057"/>
    <w:rsid w:val="00D63721"/>
    <w:rsid w:val="00D675D8"/>
    <w:rsid w:val="00D70342"/>
    <w:rsid w:val="00D740B6"/>
    <w:rsid w:val="00D74657"/>
    <w:rsid w:val="00D765BB"/>
    <w:rsid w:val="00D77205"/>
    <w:rsid w:val="00D82E45"/>
    <w:rsid w:val="00D85CFD"/>
    <w:rsid w:val="00D92EE8"/>
    <w:rsid w:val="00D943DD"/>
    <w:rsid w:val="00D9515D"/>
    <w:rsid w:val="00D951AD"/>
    <w:rsid w:val="00D970EC"/>
    <w:rsid w:val="00DA0506"/>
    <w:rsid w:val="00DA3473"/>
    <w:rsid w:val="00DA6B48"/>
    <w:rsid w:val="00DA7529"/>
    <w:rsid w:val="00DA798B"/>
    <w:rsid w:val="00DB3BDA"/>
    <w:rsid w:val="00DB53CA"/>
    <w:rsid w:val="00DC63D6"/>
    <w:rsid w:val="00DC690E"/>
    <w:rsid w:val="00DC79A9"/>
    <w:rsid w:val="00DC7ACE"/>
    <w:rsid w:val="00DD041A"/>
    <w:rsid w:val="00DD0A7A"/>
    <w:rsid w:val="00DD17AE"/>
    <w:rsid w:val="00DD5657"/>
    <w:rsid w:val="00DD69E2"/>
    <w:rsid w:val="00DE1E97"/>
    <w:rsid w:val="00DE29BA"/>
    <w:rsid w:val="00DE3958"/>
    <w:rsid w:val="00DE7B29"/>
    <w:rsid w:val="00DE7F52"/>
    <w:rsid w:val="00DF023E"/>
    <w:rsid w:val="00DF0C9E"/>
    <w:rsid w:val="00DF2467"/>
    <w:rsid w:val="00DF2F8B"/>
    <w:rsid w:val="00DF4CC2"/>
    <w:rsid w:val="00DF5C59"/>
    <w:rsid w:val="00DF69B8"/>
    <w:rsid w:val="00DF7756"/>
    <w:rsid w:val="00DF7D25"/>
    <w:rsid w:val="00E00139"/>
    <w:rsid w:val="00E00E64"/>
    <w:rsid w:val="00E01688"/>
    <w:rsid w:val="00E01B08"/>
    <w:rsid w:val="00E0292B"/>
    <w:rsid w:val="00E033B2"/>
    <w:rsid w:val="00E0399C"/>
    <w:rsid w:val="00E14E4D"/>
    <w:rsid w:val="00E15D1C"/>
    <w:rsid w:val="00E20E06"/>
    <w:rsid w:val="00E21808"/>
    <w:rsid w:val="00E22FEA"/>
    <w:rsid w:val="00E239CA"/>
    <w:rsid w:val="00E26761"/>
    <w:rsid w:val="00E272E5"/>
    <w:rsid w:val="00E300C0"/>
    <w:rsid w:val="00E40C32"/>
    <w:rsid w:val="00E43FE2"/>
    <w:rsid w:val="00E472DD"/>
    <w:rsid w:val="00E478AF"/>
    <w:rsid w:val="00E47C47"/>
    <w:rsid w:val="00E52335"/>
    <w:rsid w:val="00E60A35"/>
    <w:rsid w:val="00E62213"/>
    <w:rsid w:val="00E634BF"/>
    <w:rsid w:val="00E6526F"/>
    <w:rsid w:val="00E657B9"/>
    <w:rsid w:val="00E753F9"/>
    <w:rsid w:val="00E75C88"/>
    <w:rsid w:val="00E83C4A"/>
    <w:rsid w:val="00E91643"/>
    <w:rsid w:val="00E9325D"/>
    <w:rsid w:val="00E94E34"/>
    <w:rsid w:val="00E9519E"/>
    <w:rsid w:val="00EA2B6D"/>
    <w:rsid w:val="00EA590E"/>
    <w:rsid w:val="00EB35A6"/>
    <w:rsid w:val="00EC4547"/>
    <w:rsid w:val="00EC4D92"/>
    <w:rsid w:val="00EC61D3"/>
    <w:rsid w:val="00ED2A7A"/>
    <w:rsid w:val="00ED540E"/>
    <w:rsid w:val="00EE4A8F"/>
    <w:rsid w:val="00EE7C83"/>
    <w:rsid w:val="00EF0BB4"/>
    <w:rsid w:val="00EF43D1"/>
    <w:rsid w:val="00EF4BF1"/>
    <w:rsid w:val="00EF5B10"/>
    <w:rsid w:val="00EF67D9"/>
    <w:rsid w:val="00F00441"/>
    <w:rsid w:val="00F0108C"/>
    <w:rsid w:val="00F01EDB"/>
    <w:rsid w:val="00F0705C"/>
    <w:rsid w:val="00F1020D"/>
    <w:rsid w:val="00F12D50"/>
    <w:rsid w:val="00F14AEC"/>
    <w:rsid w:val="00F15069"/>
    <w:rsid w:val="00F1631A"/>
    <w:rsid w:val="00F16436"/>
    <w:rsid w:val="00F206D0"/>
    <w:rsid w:val="00F319D0"/>
    <w:rsid w:val="00F40A78"/>
    <w:rsid w:val="00F445A5"/>
    <w:rsid w:val="00F44B89"/>
    <w:rsid w:val="00F4556A"/>
    <w:rsid w:val="00F46F4C"/>
    <w:rsid w:val="00F5046F"/>
    <w:rsid w:val="00F5191C"/>
    <w:rsid w:val="00F529C0"/>
    <w:rsid w:val="00F561EC"/>
    <w:rsid w:val="00F56BEC"/>
    <w:rsid w:val="00F57604"/>
    <w:rsid w:val="00F62FFC"/>
    <w:rsid w:val="00F64C09"/>
    <w:rsid w:val="00F64EA8"/>
    <w:rsid w:val="00F67824"/>
    <w:rsid w:val="00F70C96"/>
    <w:rsid w:val="00F7127C"/>
    <w:rsid w:val="00F75465"/>
    <w:rsid w:val="00F773D7"/>
    <w:rsid w:val="00F8050E"/>
    <w:rsid w:val="00F8051D"/>
    <w:rsid w:val="00F83161"/>
    <w:rsid w:val="00F84701"/>
    <w:rsid w:val="00F84EE1"/>
    <w:rsid w:val="00F945B5"/>
    <w:rsid w:val="00FA200B"/>
    <w:rsid w:val="00FA3A8E"/>
    <w:rsid w:val="00FB1F0B"/>
    <w:rsid w:val="00FB38DF"/>
    <w:rsid w:val="00FB4DD6"/>
    <w:rsid w:val="00FB73D4"/>
    <w:rsid w:val="00FB7D7C"/>
    <w:rsid w:val="00FC041A"/>
    <w:rsid w:val="00FC4B92"/>
    <w:rsid w:val="00FD0697"/>
    <w:rsid w:val="00FD1C7C"/>
    <w:rsid w:val="00FD1F01"/>
    <w:rsid w:val="00FD52B1"/>
    <w:rsid w:val="00FD5FFE"/>
    <w:rsid w:val="00FD7D4C"/>
    <w:rsid w:val="00FE013E"/>
    <w:rsid w:val="00FE2A0B"/>
    <w:rsid w:val="00FE2A96"/>
    <w:rsid w:val="00FF27C0"/>
    <w:rsid w:val="01C60288"/>
    <w:rsid w:val="021F34C9"/>
    <w:rsid w:val="037665D5"/>
    <w:rsid w:val="080D4B60"/>
    <w:rsid w:val="0BFF4D76"/>
    <w:rsid w:val="0E375B42"/>
    <w:rsid w:val="0E772D33"/>
    <w:rsid w:val="10F13271"/>
    <w:rsid w:val="11D84431"/>
    <w:rsid w:val="11DA5AB3"/>
    <w:rsid w:val="13CE5AEB"/>
    <w:rsid w:val="156768C0"/>
    <w:rsid w:val="15684312"/>
    <w:rsid w:val="223E208E"/>
    <w:rsid w:val="236B0C61"/>
    <w:rsid w:val="25D7282F"/>
    <w:rsid w:val="2A3E70CF"/>
    <w:rsid w:val="356B689E"/>
    <w:rsid w:val="363B2715"/>
    <w:rsid w:val="3C456DF5"/>
    <w:rsid w:val="427D11C7"/>
    <w:rsid w:val="47767A51"/>
    <w:rsid w:val="4BDF36EB"/>
    <w:rsid w:val="510E4784"/>
    <w:rsid w:val="57827D4C"/>
    <w:rsid w:val="5BB1635F"/>
    <w:rsid w:val="60F375C4"/>
    <w:rsid w:val="6A9C00F5"/>
    <w:rsid w:val="6D4C4C2C"/>
    <w:rsid w:val="70D94A29"/>
    <w:rsid w:val="7626548C"/>
    <w:rsid w:val="78213E90"/>
    <w:rsid w:val="79D51B05"/>
    <w:rsid w:val="7EA0375E"/>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32"/>
    <w:qFormat/>
    <w:uiPriority w:val="9"/>
    <w:pPr>
      <w:spacing w:before="100" w:beforeAutospacing="1" w:after="100" w:afterAutospacing="1"/>
      <w:outlineLvl w:val="0"/>
    </w:pPr>
    <w:rPr>
      <w:rFonts w:ascii="Times New Roman" w:hAnsi="Times New Roman" w:eastAsia="Times New Roman" w:cs="Times New Roman"/>
      <w:b/>
      <w:bCs/>
      <w:kern w:val="36"/>
      <w:sz w:val="48"/>
      <w:szCs w:val="4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7"/>
    <w:semiHidden/>
    <w:unhideWhenUsed/>
    <w:qFormat/>
    <w:uiPriority w:val="99"/>
    <w:rPr>
      <w:sz w:val="20"/>
      <w:szCs w:val="20"/>
    </w:rPr>
  </w:style>
  <w:style w:type="paragraph" w:styleId="4">
    <w:name w:val="toc 3"/>
    <w:basedOn w:val="1"/>
    <w:next w:val="1"/>
    <w:unhideWhenUsed/>
    <w:qFormat/>
    <w:uiPriority w:val="39"/>
    <w:pPr>
      <w:spacing w:after="100" w:line="259" w:lineRule="auto"/>
      <w:ind w:left="440"/>
    </w:pPr>
    <w:rPr>
      <w:rFonts w:cs="Times New Roman"/>
      <w:sz w:val="22"/>
      <w:szCs w:val="22"/>
      <w:lang w:eastAsia="zh-CN"/>
    </w:rPr>
  </w:style>
  <w:style w:type="paragraph" w:styleId="5">
    <w:name w:val="Balloon Text"/>
    <w:basedOn w:val="1"/>
    <w:link w:val="51"/>
    <w:semiHidden/>
    <w:unhideWhenUsed/>
    <w:qFormat/>
    <w:uiPriority w:val="99"/>
    <w:rPr>
      <w:sz w:val="18"/>
      <w:szCs w:val="18"/>
    </w:rPr>
  </w:style>
  <w:style w:type="paragraph" w:styleId="6">
    <w:name w:val="footer"/>
    <w:basedOn w:val="1"/>
    <w:link w:val="26"/>
    <w:unhideWhenUsed/>
    <w:qFormat/>
    <w:uiPriority w:val="99"/>
    <w:pPr>
      <w:tabs>
        <w:tab w:val="center" w:pos="4680"/>
        <w:tab w:val="right" w:pos="9360"/>
      </w:tabs>
    </w:pPr>
  </w:style>
  <w:style w:type="paragraph" w:styleId="7">
    <w:name w:val="header"/>
    <w:basedOn w:val="1"/>
    <w:link w:val="25"/>
    <w:unhideWhenUsed/>
    <w:qFormat/>
    <w:uiPriority w:val="99"/>
    <w:pPr>
      <w:tabs>
        <w:tab w:val="center" w:pos="4680"/>
        <w:tab w:val="right" w:pos="9360"/>
      </w:tabs>
    </w:pPr>
  </w:style>
  <w:style w:type="paragraph" w:styleId="8">
    <w:name w:val="toc 1"/>
    <w:basedOn w:val="1"/>
    <w:next w:val="1"/>
    <w:unhideWhenUsed/>
    <w:qFormat/>
    <w:uiPriority w:val="39"/>
    <w:pPr>
      <w:spacing w:after="100" w:line="259" w:lineRule="auto"/>
    </w:pPr>
    <w:rPr>
      <w:rFonts w:ascii="Times New Roman" w:hAnsi="Times New Roman" w:cs="Times New Roman"/>
      <w:b/>
      <w:bCs/>
      <w:lang w:eastAsia="zh-CN"/>
    </w:rPr>
  </w:style>
  <w:style w:type="paragraph" w:styleId="9">
    <w:name w:val="toc 2"/>
    <w:basedOn w:val="1"/>
    <w:next w:val="1"/>
    <w:unhideWhenUsed/>
    <w:qFormat/>
    <w:uiPriority w:val="39"/>
    <w:pPr>
      <w:spacing w:after="100" w:line="259" w:lineRule="auto"/>
      <w:ind w:left="220"/>
    </w:pPr>
    <w:rPr>
      <w:rFonts w:cs="Times New Roman"/>
      <w:sz w:val="22"/>
      <w:szCs w:val="22"/>
      <w:lang w:eastAsia="zh-CN"/>
    </w:rPr>
  </w:style>
  <w:style w:type="paragraph" w:styleId="10">
    <w:name w:val="HTML Preformatted"/>
    <w:basedOn w:val="1"/>
    <w:link w:val="3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rPr>
  </w:style>
  <w:style w:type="paragraph" w:styleId="11">
    <w:name w:val="Normal (Web)"/>
    <w:basedOn w:val="1"/>
    <w:semiHidden/>
    <w:unhideWhenUsed/>
    <w:qFormat/>
    <w:uiPriority w:val="99"/>
    <w:pPr>
      <w:spacing w:before="100" w:beforeAutospacing="1" w:after="100" w:afterAutospacing="1"/>
    </w:pPr>
    <w:rPr>
      <w:rFonts w:ascii="Times New Roman" w:hAnsi="Times New Roman" w:eastAsia="Times New Roman" w:cs="Times New Roman"/>
    </w:rPr>
  </w:style>
  <w:style w:type="paragraph" w:styleId="12">
    <w:name w:val="Title"/>
    <w:basedOn w:val="1"/>
    <w:next w:val="1"/>
    <w:link w:val="35"/>
    <w:qFormat/>
    <w:uiPriority w:val="10"/>
    <w:pPr>
      <w:contextualSpacing/>
    </w:pPr>
    <w:rPr>
      <w:rFonts w:asciiTheme="majorHAnsi" w:hAnsiTheme="majorHAnsi" w:eastAsiaTheme="majorEastAsia" w:cstheme="majorBidi"/>
      <w:spacing w:val="-10"/>
      <w:kern w:val="28"/>
      <w:sz w:val="56"/>
      <w:szCs w:val="56"/>
    </w:rPr>
  </w:style>
  <w:style w:type="paragraph" w:styleId="13">
    <w:name w:val="annotation subject"/>
    <w:basedOn w:val="3"/>
    <w:next w:val="3"/>
    <w:link w:val="28"/>
    <w:semiHidden/>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semiHidden/>
    <w:unhideWhenUsed/>
    <w:qFormat/>
    <w:uiPriority w:val="99"/>
  </w:style>
  <w:style w:type="character" w:styleId="18">
    <w:name w:val="FollowedHyperlink"/>
    <w:basedOn w:val="16"/>
    <w:semiHidden/>
    <w:unhideWhenUsed/>
    <w:qFormat/>
    <w:uiPriority w:val="99"/>
    <w:rPr>
      <w:color w:val="954F72" w:themeColor="followedHyperlink"/>
      <w:u w:val="single"/>
      <w14:textFill>
        <w14:solidFill>
          <w14:schemeClr w14:val="folHlink"/>
        </w14:solidFill>
      </w14:textFill>
    </w:rPr>
  </w:style>
  <w:style w:type="character" w:styleId="19">
    <w:name w:val="Hyperlink"/>
    <w:basedOn w:val="16"/>
    <w:unhideWhenUsed/>
    <w:qFormat/>
    <w:uiPriority w:val="99"/>
    <w:rPr>
      <w:color w:val="0563C1" w:themeColor="hyperlink"/>
      <w:u w:val="single"/>
      <w14:textFill>
        <w14:solidFill>
          <w14:schemeClr w14:val="hlink"/>
        </w14:solidFill>
      </w14:textFill>
    </w:rPr>
  </w:style>
  <w:style w:type="character" w:styleId="20">
    <w:name w:val="annotation reference"/>
    <w:basedOn w:val="16"/>
    <w:semiHidden/>
    <w:unhideWhenUsed/>
    <w:qFormat/>
    <w:uiPriority w:val="99"/>
    <w:rPr>
      <w:sz w:val="16"/>
      <w:szCs w:val="16"/>
    </w:rPr>
  </w:style>
  <w:style w:type="paragraph" w:customStyle="1" w:styleId="21">
    <w:name w:val="EndNote Bibliography Title"/>
    <w:basedOn w:val="1"/>
    <w:link w:val="22"/>
    <w:qFormat/>
    <w:uiPriority w:val="0"/>
    <w:pPr>
      <w:jc w:val="center"/>
    </w:pPr>
    <w:rPr>
      <w:rFonts w:ascii="Calibri" w:hAnsi="Calibri" w:cs="Calibri"/>
    </w:rPr>
  </w:style>
  <w:style w:type="character" w:customStyle="1" w:styleId="22">
    <w:name w:val="EndNote Bibliography Title Char"/>
    <w:basedOn w:val="16"/>
    <w:link w:val="21"/>
    <w:qFormat/>
    <w:uiPriority w:val="0"/>
    <w:rPr>
      <w:rFonts w:ascii="Calibri" w:hAnsi="Calibri" w:cs="Calibri"/>
    </w:rPr>
  </w:style>
  <w:style w:type="paragraph" w:customStyle="1" w:styleId="23">
    <w:name w:val="EndNote Bibliography"/>
    <w:basedOn w:val="1"/>
    <w:link w:val="24"/>
    <w:qFormat/>
    <w:uiPriority w:val="0"/>
    <w:rPr>
      <w:rFonts w:ascii="Calibri" w:hAnsi="Calibri" w:cs="Calibri"/>
    </w:rPr>
  </w:style>
  <w:style w:type="character" w:customStyle="1" w:styleId="24">
    <w:name w:val="EndNote Bibliography Char"/>
    <w:basedOn w:val="16"/>
    <w:link w:val="23"/>
    <w:qFormat/>
    <w:uiPriority w:val="0"/>
    <w:rPr>
      <w:rFonts w:ascii="Calibri" w:hAnsi="Calibri" w:cs="Calibri"/>
    </w:rPr>
  </w:style>
  <w:style w:type="character" w:customStyle="1" w:styleId="25">
    <w:name w:val="页眉 字符"/>
    <w:basedOn w:val="16"/>
    <w:link w:val="7"/>
    <w:qFormat/>
    <w:uiPriority w:val="99"/>
  </w:style>
  <w:style w:type="character" w:customStyle="1" w:styleId="26">
    <w:name w:val="页脚 字符"/>
    <w:basedOn w:val="16"/>
    <w:link w:val="6"/>
    <w:qFormat/>
    <w:uiPriority w:val="99"/>
  </w:style>
  <w:style w:type="character" w:customStyle="1" w:styleId="27">
    <w:name w:val="批注文字 字符"/>
    <w:basedOn w:val="16"/>
    <w:link w:val="3"/>
    <w:semiHidden/>
    <w:qFormat/>
    <w:uiPriority w:val="99"/>
    <w:rPr>
      <w:sz w:val="20"/>
      <w:szCs w:val="20"/>
    </w:rPr>
  </w:style>
  <w:style w:type="character" w:customStyle="1" w:styleId="28">
    <w:name w:val="批注主题 字符"/>
    <w:basedOn w:val="27"/>
    <w:link w:val="13"/>
    <w:semiHidden/>
    <w:qFormat/>
    <w:uiPriority w:val="99"/>
    <w:rPr>
      <w:b/>
      <w:bCs/>
      <w:sz w:val="20"/>
      <w:szCs w:val="20"/>
    </w:rPr>
  </w:style>
  <w:style w:type="paragraph" w:styleId="29">
    <w:name w:val="List Paragraph"/>
    <w:basedOn w:val="1"/>
    <w:qFormat/>
    <w:uiPriority w:val="34"/>
    <w:pPr>
      <w:ind w:left="720"/>
      <w:contextualSpacing/>
    </w:pPr>
  </w:style>
  <w:style w:type="character" w:customStyle="1" w:styleId="30">
    <w:name w:val="未处理的提及1"/>
    <w:basedOn w:val="16"/>
    <w:semiHidden/>
    <w:unhideWhenUsed/>
    <w:qFormat/>
    <w:uiPriority w:val="99"/>
    <w:rPr>
      <w:color w:val="605E5C"/>
      <w:shd w:val="clear" w:color="auto" w:fill="E1DFDD"/>
    </w:rPr>
  </w:style>
  <w:style w:type="character" w:customStyle="1" w:styleId="31">
    <w:name w:val="HTML 预设格式 字符"/>
    <w:basedOn w:val="16"/>
    <w:link w:val="10"/>
    <w:qFormat/>
    <w:uiPriority w:val="99"/>
    <w:rPr>
      <w:rFonts w:ascii="Courier New" w:hAnsi="Courier New" w:eastAsia="Times New Roman" w:cs="Courier New"/>
      <w:sz w:val="20"/>
      <w:szCs w:val="20"/>
    </w:rPr>
  </w:style>
  <w:style w:type="character" w:customStyle="1" w:styleId="32">
    <w:name w:val="标题 1 字符"/>
    <w:basedOn w:val="16"/>
    <w:link w:val="2"/>
    <w:qFormat/>
    <w:uiPriority w:val="9"/>
    <w:rPr>
      <w:rFonts w:ascii="Times New Roman" w:hAnsi="Times New Roman" w:eastAsia="Times New Roman" w:cs="Times New Roman"/>
      <w:b/>
      <w:bCs/>
      <w:kern w:val="36"/>
      <w:sz w:val="48"/>
      <w:szCs w:val="48"/>
    </w:rPr>
  </w:style>
  <w:style w:type="character" w:customStyle="1" w:styleId="33">
    <w:name w:val="code"/>
    <w:basedOn w:val="16"/>
    <w:qFormat/>
    <w:uiPriority w:val="0"/>
  </w:style>
  <w:style w:type="paragraph" w:customStyle="1" w:styleId="34">
    <w:name w:val="修订1"/>
    <w:hidden/>
    <w:semiHidden/>
    <w:qFormat/>
    <w:uiPriority w:val="99"/>
    <w:rPr>
      <w:rFonts w:asciiTheme="minorHAnsi" w:hAnsiTheme="minorHAnsi" w:eastAsiaTheme="minorEastAsia" w:cstheme="minorBidi"/>
      <w:sz w:val="24"/>
      <w:szCs w:val="24"/>
      <w:lang w:val="en-US" w:eastAsia="en-US" w:bidi="ar-SA"/>
    </w:rPr>
  </w:style>
  <w:style w:type="character" w:customStyle="1" w:styleId="35">
    <w:name w:val="标题 字符"/>
    <w:basedOn w:val="16"/>
    <w:link w:val="12"/>
    <w:qFormat/>
    <w:uiPriority w:val="10"/>
    <w:rPr>
      <w:rFonts w:asciiTheme="majorHAnsi" w:hAnsiTheme="majorHAnsi" w:eastAsiaTheme="majorEastAsia" w:cstheme="majorBidi"/>
      <w:spacing w:val="-10"/>
      <w:kern w:val="28"/>
      <w:sz w:val="56"/>
      <w:szCs w:val="56"/>
    </w:rPr>
  </w:style>
  <w:style w:type="table" w:customStyle="1" w:styleId="36">
    <w:name w:val="三线表"/>
    <w:basedOn w:val="15"/>
    <w:qFormat/>
    <w:uiPriority w:val="99"/>
    <w:pPr>
      <w:jc w:val="center"/>
    </w:pPr>
    <w:rPr>
      <w:kern w:val="2"/>
      <w:sz w:val="21"/>
      <w:szCs w:val="22"/>
    </w:rPr>
    <w:tblPr>
      <w:jc w:val="center"/>
      <w:tblBorders>
        <w:top w:val="single" w:color="000000" w:themeColor="text1" w:sz="12" w:space="0"/>
        <w:bottom w:val="single" w:color="000000" w:themeColor="text1" w:sz="12" w:space="0"/>
      </w:tblBorders>
    </w:tblPr>
    <w:trPr>
      <w:jc w:val="center"/>
    </w:trPr>
    <w:tcPr>
      <w:vAlign w:val="center"/>
    </w:tcPr>
    <w:tblStylePr w:type="firstRow">
      <w:tcPr>
        <w:tcBorders>
          <w:bottom w:val="single" w:color="auto" w:sz="6" w:space="0"/>
        </w:tcBorders>
      </w:tcPr>
    </w:tblStylePr>
    <w:tblStylePr w:type="lastRow">
      <w:tcPr>
        <w:tcBorders>
          <w:top w:val="nil"/>
        </w:tcBorders>
      </w:tcPr>
    </w:tblStylePr>
  </w:style>
  <w:style w:type="table" w:customStyle="1" w:styleId="37">
    <w:name w:val="网格型1"/>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
    <w:name w:val="网格型2"/>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
    <w:name w:val="网格型3"/>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
    <w:name w:val="网格型4"/>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
    <w:name w:val="网格型5"/>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网格型6"/>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网格型7"/>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网格型8"/>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网格型9"/>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网格型10"/>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
    <w:name w:val="网格型11"/>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
    <w:name w:val="网格型12"/>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
    <w:name w:val="网格型13"/>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
    <w:name w:val="网格型14"/>
    <w:basedOn w:val="14"/>
    <w:qFormat/>
    <w:uiPriority w:val="39"/>
    <w:rPr>
      <w:rFonts w:ascii="Times New Roman" w:hAnsi="Times New Roman" w:eastAsia="宋体" w:cs="Times New Roman"/>
      <w:kern w:val="2"/>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1">
    <w:name w:val="批注框文本 字符"/>
    <w:basedOn w:val="16"/>
    <w:link w:val="5"/>
    <w:semiHidden/>
    <w:qFormat/>
    <w:uiPriority w:val="99"/>
    <w:rPr>
      <w:sz w:val="18"/>
      <w:szCs w:val="18"/>
    </w:rPr>
  </w:style>
  <w:style w:type="table" w:customStyle="1" w:styleId="52">
    <w:name w:val="网格型15"/>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
    <w:name w:val="网格型16"/>
    <w:basedOn w:val="1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网格型17"/>
    <w:basedOn w:val="1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
    <w:name w:val="网格型18"/>
    <w:basedOn w:val="1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TOC 标题1"/>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597" w:themeColor="accent1" w:themeShade="BF"/>
      <w:kern w:val="0"/>
      <w:sz w:val="32"/>
      <w:szCs w:val="32"/>
      <w:lang w:eastAsia="zh-CN"/>
    </w:rPr>
  </w:style>
  <w:style w:type="table" w:customStyle="1" w:styleId="57">
    <w:name w:val="三线表1"/>
    <w:basedOn w:val="15"/>
    <w:qFormat/>
    <w:uiPriority w:val="99"/>
    <w:pPr>
      <w:jc w:val="center"/>
    </w:pPr>
    <w:rPr>
      <w:rFonts w:ascii="Times New Roman" w:hAnsi="Times New Roman" w:eastAsia="宋体" w:cs="Times New Roman"/>
    </w:rPr>
    <w:tblPr>
      <w:tblBorders>
        <w:top w:val="single" w:color="000000" w:sz="12" w:space="0"/>
        <w:bottom w:val="single" w:color="000000" w:sz="12" w:space="0"/>
      </w:tblBorders>
    </w:tblPr>
    <w:tcPr>
      <w:vAlign w:val="center"/>
    </w:tcPr>
    <w:tblStylePr w:type="firstRow">
      <w:tcPr>
        <w:tcBorders>
          <w:bottom w:val="single" w:color="auto" w:sz="6" w:space="0"/>
        </w:tcBorders>
      </w:tcPr>
    </w:tblStylePr>
    <w:tblStylePr w:type="lastRow">
      <w:tcPr>
        <w:tcBorders>
          <w:top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3.tiff"/><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4750D-7E4A-4BBC-A0DD-F3033392F174}">
  <ds:schemaRefs/>
</ds:datastoreItem>
</file>

<file path=docProps/app.xml><?xml version="1.0" encoding="utf-8"?>
<Properties xmlns="http://schemas.openxmlformats.org/officeDocument/2006/extended-properties" xmlns:vt="http://schemas.openxmlformats.org/officeDocument/2006/docPropsVTypes">
  <Template>Normal</Template>
  <Pages>20</Pages>
  <Words>2922</Words>
  <Characters>16925</Characters>
  <Lines>133</Lines>
  <Paragraphs>37</Paragraphs>
  <TotalTime>9</TotalTime>
  <ScaleCrop>false</ScaleCrop>
  <LinksUpToDate>false</LinksUpToDate>
  <CharactersWithSpaces>19302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2024-02-24T01:54:00Z</dcterms:created>
  <dc:creator>Lau, Emily S.,MD, MPH</dc:creator>
  <cp:lastModifiedBy>Mao DM</cp:lastModifiedBy>
  <dcterms:modified xsi:type="dcterms:W3CDTF">2024-10-01T15:57:39Z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2023-10-24T06:37:36Z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718742e4-1ead-4960-b203-dff45b7b7b6c</vt:lpwstr>
  </property>
  <property fmtid="{D5CDD505-2E9C-101B-9397-08002B2CF9AE}" pid="8" name="MSIP_Label_549ac42a-3eb4-4074-b885-aea26bd6241e_ContentBits">
    <vt:lpwstr>0</vt:lpwstr>
  </property>
  <property fmtid="{D5CDD505-2E9C-101B-9397-08002B2CF9AE}" pid="9" name="KSOProductBuildVer">
    <vt:lpwstr>2052-12.1.0.18276</vt:lpwstr>
  </property>
  <property fmtid="{D5CDD505-2E9C-101B-9397-08002B2CF9AE}" pid="10" name="ICV">
    <vt:lpwstr>2C382FCBB2FD404590F0BE7232E74036_13</vt:lpwstr>
  </property>
</Properties>
</file>