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BC6912" w:rsidRDefault="00BC6912">
      <w:pPr>
        <w:rPr>
          <w:rFonts w:ascii="Arial MT" w:eastAsia="Arial MT" w:hAnsi="Arial MT" w:cs="Arial MT"/>
          <w:b/>
          <w:bCs/>
          <w:color w:val="000000" w:themeColor="text1"/>
          <w:sz w:val="22"/>
          <w:szCs w:val="22"/>
          <w:lang w:val="en-US"/>
        </w:rPr>
      </w:pPr>
      <w:proofErr w:type="spellStart"/>
      <w:r w:rsidRPr="00BC6912">
        <w:rPr>
          <w:rFonts w:ascii="Arial MT" w:eastAsia="Arial MT" w:hAnsi="Arial MT" w:cs="Arial MT"/>
          <w:b/>
          <w:bCs/>
          <w:color w:val="000000" w:themeColor="text1"/>
          <w:sz w:val="22"/>
          <w:szCs w:val="22"/>
          <w:lang w:val="en-US"/>
        </w:rPr>
        <w:t>Supplementary</w:t>
      </w:r>
      <w:proofErr w:type="spellEnd"/>
      <w:r w:rsidRPr="00BC6912">
        <w:rPr>
          <w:rFonts w:ascii="Arial MT" w:eastAsia="Arial MT" w:hAnsi="Arial MT" w:cs="Arial MT"/>
          <w:b/>
          <w:bCs/>
          <w:color w:val="000000" w:themeColor="text1"/>
          <w:sz w:val="22"/>
          <w:szCs w:val="22"/>
          <w:lang w:val="en-US"/>
        </w:rPr>
        <w:t xml:space="preserve"> Figure </w:t>
      </w:r>
      <w:proofErr w:type="spellStart"/>
      <w:r w:rsidRPr="00BC6912">
        <w:rPr>
          <w:rFonts w:ascii="Arial MT" w:eastAsia="Arial MT" w:hAnsi="Arial MT" w:cs="Arial MT"/>
          <w:b/>
          <w:bCs/>
          <w:color w:val="000000" w:themeColor="text1"/>
          <w:sz w:val="22"/>
          <w:szCs w:val="22"/>
          <w:lang w:val="en-US"/>
        </w:rPr>
        <w:t>Legends</w:t>
      </w:r>
      <w:proofErr w:type="spellEnd"/>
    </w:p>
    <w:p w:rsidR="00BC6912" w:rsidRDefault="00BC6912"/>
    <w:p w:rsidR="00BC6912" w:rsidRPr="00BC6912" w:rsidRDefault="00BC6912" w:rsidP="00BC6912">
      <w:pPr>
        <w:pStyle w:val="Textoindependiente"/>
        <w:spacing w:line="242" w:lineRule="auto"/>
        <w:ind w:right="112"/>
        <w:rPr>
          <w:color w:val="000000" w:themeColor="text1"/>
        </w:rPr>
      </w:pPr>
      <w:r w:rsidRPr="00BC6912">
        <w:rPr>
          <w:rFonts w:ascii="Arial"/>
          <w:b/>
          <w:color w:val="000000" w:themeColor="text1"/>
        </w:rPr>
        <w:t>Supplemental</w:t>
      </w:r>
      <w:r w:rsidRPr="00BC6912">
        <w:rPr>
          <w:rFonts w:ascii="Arial"/>
          <w:b/>
          <w:color w:val="000000" w:themeColor="text1"/>
          <w:spacing w:val="-15"/>
        </w:rPr>
        <w:t xml:space="preserve"> </w:t>
      </w:r>
      <w:r w:rsidRPr="00BC6912">
        <w:rPr>
          <w:rFonts w:ascii="Arial"/>
          <w:b/>
          <w:color w:val="000000" w:themeColor="text1"/>
        </w:rPr>
        <w:t>figure</w:t>
      </w:r>
      <w:r w:rsidRPr="00BC6912">
        <w:rPr>
          <w:rFonts w:ascii="Arial"/>
          <w:b/>
          <w:color w:val="000000" w:themeColor="text1"/>
          <w:spacing w:val="-12"/>
        </w:rPr>
        <w:t xml:space="preserve"> </w:t>
      </w:r>
      <w:r w:rsidRPr="00BC6912">
        <w:rPr>
          <w:rFonts w:ascii="Arial"/>
          <w:b/>
          <w:color w:val="000000" w:themeColor="text1"/>
        </w:rPr>
        <w:t>1:</w:t>
      </w:r>
      <w:r w:rsidRPr="00BC6912">
        <w:rPr>
          <w:rFonts w:ascii="Arial"/>
          <w:b/>
          <w:color w:val="000000" w:themeColor="text1"/>
          <w:spacing w:val="-9"/>
        </w:rPr>
        <w:t xml:space="preserve"> </w:t>
      </w:r>
      <w:r w:rsidRPr="00BC6912">
        <w:rPr>
          <w:color w:val="000000" w:themeColor="text1"/>
        </w:rPr>
        <w:t>Levels</w:t>
      </w:r>
      <w:r w:rsidRPr="00BC6912">
        <w:rPr>
          <w:color w:val="000000" w:themeColor="text1"/>
          <w:spacing w:val="-14"/>
        </w:rPr>
        <w:t xml:space="preserve"> </w:t>
      </w:r>
      <w:r w:rsidRPr="00BC6912">
        <w:rPr>
          <w:color w:val="000000" w:themeColor="text1"/>
        </w:rPr>
        <w:t>of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cleaved</w:t>
      </w:r>
      <w:r w:rsidRPr="00BC6912">
        <w:rPr>
          <w:color w:val="000000" w:themeColor="text1"/>
          <w:spacing w:val="-11"/>
        </w:rPr>
        <w:t xml:space="preserve"> </w:t>
      </w:r>
      <w:r w:rsidRPr="00BC6912">
        <w:rPr>
          <w:color w:val="000000" w:themeColor="text1"/>
        </w:rPr>
        <w:t>caspase</w:t>
      </w:r>
      <w:r w:rsidRPr="00BC6912">
        <w:rPr>
          <w:color w:val="000000" w:themeColor="text1"/>
          <w:spacing w:val="-11"/>
        </w:rPr>
        <w:t xml:space="preserve"> </w:t>
      </w:r>
      <w:r w:rsidRPr="00BC6912">
        <w:rPr>
          <w:color w:val="000000" w:themeColor="text1"/>
        </w:rPr>
        <w:t>3</w:t>
      </w:r>
      <w:r w:rsidRPr="00BC6912">
        <w:rPr>
          <w:color w:val="000000" w:themeColor="text1"/>
          <w:spacing w:val="-11"/>
        </w:rPr>
        <w:t xml:space="preserve"> </w:t>
      </w:r>
      <w:r w:rsidRPr="00BC6912">
        <w:rPr>
          <w:color w:val="000000" w:themeColor="text1"/>
        </w:rPr>
        <w:t>in</w:t>
      </w:r>
      <w:r w:rsidRPr="00BC6912">
        <w:rPr>
          <w:color w:val="000000" w:themeColor="text1"/>
          <w:spacing w:val="-5"/>
        </w:rPr>
        <w:t xml:space="preserve"> </w:t>
      </w:r>
      <w:r w:rsidRPr="00BC6912">
        <w:rPr>
          <w:color w:val="000000" w:themeColor="text1"/>
        </w:rPr>
        <w:t>tubular</w:t>
      </w:r>
      <w:r w:rsidRPr="00BC6912">
        <w:rPr>
          <w:color w:val="000000" w:themeColor="text1"/>
          <w:spacing w:val="-11"/>
        </w:rPr>
        <w:t xml:space="preserve"> </w:t>
      </w:r>
      <w:r w:rsidRPr="00BC6912">
        <w:rPr>
          <w:color w:val="000000" w:themeColor="text1"/>
        </w:rPr>
        <w:t>and</w:t>
      </w:r>
      <w:r w:rsidRPr="00BC6912">
        <w:rPr>
          <w:color w:val="000000" w:themeColor="text1"/>
          <w:spacing w:val="-16"/>
        </w:rPr>
        <w:t xml:space="preserve"> </w:t>
      </w:r>
      <w:r w:rsidRPr="00BC6912">
        <w:rPr>
          <w:color w:val="000000" w:themeColor="text1"/>
        </w:rPr>
        <w:t>podocytes</w:t>
      </w:r>
      <w:r w:rsidRPr="00BC6912">
        <w:rPr>
          <w:color w:val="000000" w:themeColor="text1"/>
          <w:spacing w:val="-13"/>
        </w:rPr>
        <w:t xml:space="preserve"> </w:t>
      </w:r>
      <w:r w:rsidRPr="00BC6912">
        <w:rPr>
          <w:color w:val="000000" w:themeColor="text1"/>
        </w:rPr>
        <w:t>cells</w:t>
      </w:r>
      <w:r w:rsidRPr="00BC6912">
        <w:rPr>
          <w:color w:val="000000" w:themeColor="text1"/>
          <w:spacing w:val="-14"/>
        </w:rPr>
        <w:t xml:space="preserve"> </w:t>
      </w:r>
      <w:r w:rsidRPr="00BC6912">
        <w:rPr>
          <w:color w:val="000000" w:themeColor="text1"/>
        </w:rPr>
        <w:t>(</w:t>
      </w:r>
      <w:proofErr w:type="gramStart"/>
      <w:r w:rsidRPr="00BC6912">
        <w:rPr>
          <w:color w:val="000000" w:themeColor="text1"/>
        </w:rPr>
        <w:t>A,C</w:t>
      </w:r>
      <w:proofErr w:type="gramEnd"/>
      <w:r w:rsidRPr="00BC6912">
        <w:rPr>
          <w:color w:val="000000" w:themeColor="text1"/>
        </w:rPr>
        <w:t>)</w:t>
      </w:r>
      <w:r w:rsidRPr="00BC6912">
        <w:rPr>
          <w:color w:val="000000" w:themeColor="text1"/>
          <w:spacing w:val="-12"/>
        </w:rPr>
        <w:t xml:space="preserve"> </w:t>
      </w:r>
      <w:r w:rsidRPr="00BC6912">
        <w:rPr>
          <w:color w:val="000000" w:themeColor="text1"/>
        </w:rPr>
        <w:t xml:space="preserve">and levels of </w:t>
      </w:r>
      <w:proofErr w:type="spellStart"/>
      <w:r w:rsidRPr="00BC6912">
        <w:rPr>
          <w:color w:val="000000" w:themeColor="text1"/>
        </w:rPr>
        <w:t>Bcl</w:t>
      </w:r>
      <w:proofErr w:type="spellEnd"/>
      <w:r w:rsidRPr="00BC6912">
        <w:rPr>
          <w:color w:val="000000" w:themeColor="text1"/>
        </w:rPr>
        <w:t>-x in mesangial cells. (n (independent studies) =2-3; * p &lt; 0,05; ** p &lt; 0,01; ***p&lt;0,005, ****p&lt;0,0005).</w:t>
      </w:r>
    </w:p>
    <w:p w:rsidR="00BC6912" w:rsidRPr="00BC6912" w:rsidRDefault="00BC6912" w:rsidP="00BC6912">
      <w:pPr>
        <w:pStyle w:val="Textoindependiente"/>
        <w:spacing w:before="250" w:line="242" w:lineRule="auto"/>
        <w:ind w:right="107"/>
        <w:rPr>
          <w:color w:val="000000" w:themeColor="text1"/>
        </w:rPr>
      </w:pPr>
      <w:r w:rsidRPr="00BC6912">
        <w:rPr>
          <w:rFonts w:ascii="Arial"/>
          <w:b/>
          <w:color w:val="000000" w:themeColor="text1"/>
        </w:rPr>
        <w:t>Supplemental</w:t>
      </w:r>
      <w:r w:rsidRPr="00BC6912">
        <w:rPr>
          <w:rFonts w:ascii="Arial"/>
          <w:b/>
          <w:color w:val="000000" w:themeColor="text1"/>
          <w:spacing w:val="-16"/>
        </w:rPr>
        <w:t xml:space="preserve"> </w:t>
      </w:r>
      <w:r w:rsidRPr="00BC6912">
        <w:rPr>
          <w:rFonts w:ascii="Arial"/>
          <w:b/>
          <w:color w:val="000000" w:themeColor="text1"/>
        </w:rPr>
        <w:t>figure</w:t>
      </w:r>
      <w:r w:rsidRPr="00BC6912">
        <w:rPr>
          <w:rFonts w:ascii="Arial"/>
          <w:b/>
          <w:color w:val="000000" w:themeColor="text1"/>
          <w:spacing w:val="-15"/>
        </w:rPr>
        <w:t xml:space="preserve"> </w:t>
      </w:r>
      <w:r w:rsidRPr="00BC6912">
        <w:rPr>
          <w:rFonts w:ascii="Arial"/>
          <w:b/>
          <w:color w:val="000000" w:themeColor="text1"/>
        </w:rPr>
        <w:t>2:</w:t>
      </w:r>
      <w:r w:rsidRPr="00BC6912">
        <w:rPr>
          <w:rFonts w:ascii="Arial"/>
          <w:b/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Insulin</w:t>
      </w:r>
      <w:r w:rsidRPr="00BC6912">
        <w:rPr>
          <w:color w:val="000000" w:themeColor="text1"/>
          <w:spacing w:val="-16"/>
        </w:rPr>
        <w:t xml:space="preserve"> </w:t>
      </w:r>
      <w:r w:rsidRPr="00BC6912">
        <w:rPr>
          <w:color w:val="000000" w:themeColor="text1"/>
        </w:rPr>
        <w:t>tolerance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test.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The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plot</w:t>
      </w:r>
      <w:r w:rsidRPr="00BC6912">
        <w:rPr>
          <w:color w:val="000000" w:themeColor="text1"/>
          <w:spacing w:val="-16"/>
        </w:rPr>
        <w:t xml:space="preserve"> </w:t>
      </w:r>
      <w:r w:rsidRPr="00BC6912">
        <w:rPr>
          <w:color w:val="000000" w:themeColor="text1"/>
        </w:rPr>
        <w:t>indicates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the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mean</w:t>
      </w:r>
      <w:r w:rsidRPr="00BC6912">
        <w:rPr>
          <w:color w:val="000000" w:themeColor="text1"/>
          <w:spacing w:val="-16"/>
        </w:rPr>
        <w:t xml:space="preserve"> </w:t>
      </w:r>
      <w:r w:rsidRPr="00BC6912">
        <w:rPr>
          <w:color w:val="000000" w:themeColor="text1"/>
        </w:rPr>
        <w:t>and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standard</w:t>
      </w:r>
      <w:r w:rsidRPr="00BC6912">
        <w:rPr>
          <w:color w:val="000000" w:themeColor="text1"/>
          <w:spacing w:val="-15"/>
        </w:rPr>
        <w:t xml:space="preserve"> </w:t>
      </w:r>
      <w:r w:rsidRPr="00BC6912">
        <w:rPr>
          <w:color w:val="000000" w:themeColor="text1"/>
        </w:rPr>
        <w:t>error, n (mice number) =4-7. *p &lt; 0,05; ** p &lt; 0,01; ***p&lt;0,005, **** p&lt;0,0005.</w:t>
      </w:r>
    </w:p>
    <w:p w:rsidR="00BC6912" w:rsidRPr="00BC6912" w:rsidRDefault="00BC6912" w:rsidP="00BC6912">
      <w:pPr>
        <w:pStyle w:val="Textoindependiente"/>
        <w:spacing w:before="249" w:line="242" w:lineRule="auto"/>
        <w:ind w:right="110"/>
        <w:rPr>
          <w:color w:val="000000" w:themeColor="text1"/>
        </w:rPr>
      </w:pPr>
      <w:r w:rsidRPr="00BC6912">
        <w:rPr>
          <w:rFonts w:ascii="Arial"/>
          <w:b/>
          <w:color w:val="000000" w:themeColor="text1"/>
        </w:rPr>
        <w:t xml:space="preserve">Supplemental figure 3: </w:t>
      </w:r>
      <w:r w:rsidRPr="00BC6912">
        <w:rPr>
          <w:color w:val="000000" w:themeColor="text1"/>
        </w:rPr>
        <w:t>IAPP levels by Western blotting of the whole kidney tissue. The plot indicates the mean +/- standard error of the mean (SEM) (n (mice number) =4-7).</w:t>
      </w:r>
    </w:p>
    <w:p w:rsidR="00BC6912" w:rsidRPr="00BC6912" w:rsidRDefault="00BC6912" w:rsidP="00BC6912">
      <w:pPr>
        <w:pStyle w:val="Textoindependiente"/>
        <w:spacing w:before="249" w:line="242" w:lineRule="auto"/>
        <w:ind w:right="110"/>
        <w:rPr>
          <w:color w:val="000000" w:themeColor="text1"/>
        </w:rPr>
      </w:pPr>
      <w:r w:rsidRPr="00BC6912">
        <w:rPr>
          <w:b/>
          <w:bCs/>
          <w:color w:val="000000" w:themeColor="text1"/>
        </w:rPr>
        <w:t>Supplemental figure 4</w:t>
      </w:r>
      <w:r w:rsidRPr="00BC6912">
        <w:rPr>
          <w:color w:val="000000" w:themeColor="text1"/>
        </w:rPr>
        <w:t xml:space="preserve">:  Amyloid oligomers detected in the glomerular area of the kidney of 4M </w:t>
      </w:r>
      <w:proofErr w:type="spellStart"/>
      <w:r w:rsidRPr="00BC6912">
        <w:rPr>
          <w:color w:val="000000" w:themeColor="text1"/>
        </w:rPr>
        <w:t>TghIAPP</w:t>
      </w:r>
      <w:proofErr w:type="spellEnd"/>
      <w:r w:rsidRPr="00BC6912">
        <w:rPr>
          <w:color w:val="000000" w:themeColor="text1"/>
        </w:rPr>
        <w:t xml:space="preserve"> mice fed with HFD by A11 immunohistochemistry. A11 does not recognize monomers or mature fibers (A). Amyloid oligomers detected in the tubular area in kidney of 4M </w:t>
      </w:r>
      <w:proofErr w:type="spellStart"/>
      <w:r w:rsidRPr="00BC6912">
        <w:rPr>
          <w:color w:val="000000" w:themeColor="text1"/>
        </w:rPr>
        <w:t>TghIAPP</w:t>
      </w:r>
      <w:proofErr w:type="spellEnd"/>
      <w:r w:rsidRPr="00BC6912">
        <w:rPr>
          <w:color w:val="000000" w:themeColor="text1"/>
        </w:rPr>
        <w:t xml:space="preserve"> mice fed with HFD (B).  </w:t>
      </w:r>
    </w:p>
    <w:p w:rsidR="00BC6912" w:rsidRPr="00BC6912" w:rsidRDefault="00BC6912" w:rsidP="00BC6912">
      <w:pPr>
        <w:pStyle w:val="Textoindependiente"/>
        <w:spacing w:before="249" w:line="242" w:lineRule="auto"/>
        <w:ind w:right="110"/>
        <w:rPr>
          <w:color w:val="000000" w:themeColor="text1"/>
        </w:rPr>
      </w:pPr>
      <w:r w:rsidRPr="00BC6912">
        <w:rPr>
          <w:b/>
          <w:bCs/>
          <w:color w:val="000000" w:themeColor="text1"/>
        </w:rPr>
        <w:t>Supplemental figure 5</w:t>
      </w:r>
      <w:r w:rsidRPr="00BC6912">
        <w:rPr>
          <w:color w:val="000000" w:themeColor="text1"/>
        </w:rPr>
        <w:t>:  Caspase-1 immunohistochemistry in kidney sections. The plot indicates the mean +/- standard error of the mean (SEM) (n (mice number) =3-7).</w:t>
      </w:r>
    </w:p>
    <w:p w:rsidR="00BC6912" w:rsidRPr="00BC6912" w:rsidRDefault="00BC6912">
      <w:pPr>
        <w:rPr>
          <w:lang w:val="en-US"/>
        </w:rPr>
      </w:pPr>
    </w:p>
    <w:sectPr w:rsidR="00BC6912" w:rsidRPr="00BC6912" w:rsidSect="00B75EF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12"/>
    <w:rsid w:val="00487905"/>
    <w:rsid w:val="00B75EFF"/>
    <w:rsid w:val="00BC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260834"/>
  <w15:chartTrackingRefBased/>
  <w15:docId w15:val="{BED6930D-DFC8-0A4A-B11F-51C95581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BC6912"/>
    <w:pPr>
      <w:widowControl w:val="0"/>
      <w:autoSpaceDE w:val="0"/>
      <w:autoSpaceDN w:val="0"/>
      <w:ind w:left="100"/>
      <w:jc w:val="both"/>
    </w:pPr>
    <w:rPr>
      <w:rFonts w:ascii="Arial MT" w:eastAsia="Arial MT" w:hAnsi="Arial MT" w:cs="Arial MT"/>
      <w:sz w:val="22"/>
      <w:szCs w:val="22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C6912"/>
    <w:rPr>
      <w:rFonts w:ascii="Arial MT" w:eastAsia="Arial MT" w:hAnsi="Arial MT" w:cs="Arial M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2024-09-22T17:15:00Z</dcterms:created>
  <dcterms:modified xsi:type="dcterms:W3CDTF">2024-09-22T17:16:00Z</dcterms:modified>
</cp:coreProperties>
</file>