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9CF" w:rsidRPr="00542BB1" w:rsidRDefault="000849CF" w:rsidP="000849CF">
      <w:pPr>
        <w:pStyle w:val="1"/>
        <w:spacing w:line="480" w:lineRule="auto"/>
        <w:ind w:firstLineChars="0" w:firstLine="0"/>
        <w:rPr>
          <w:rFonts w:eastAsia="微软雅黑" w:cs="Times New Roman"/>
          <w:b/>
          <w:sz w:val="24"/>
          <w:szCs w:val="24"/>
        </w:rPr>
      </w:pPr>
      <w:r w:rsidRPr="00542BB1">
        <w:rPr>
          <w:rFonts w:eastAsia="微软雅黑" w:cs="Times New Roman"/>
          <w:b/>
          <w:sz w:val="24"/>
          <w:szCs w:val="24"/>
        </w:rPr>
        <w:t>Table S1</w:t>
      </w:r>
      <w:r>
        <w:rPr>
          <w:rFonts w:eastAsia="微软雅黑" w:cs="Times New Roman"/>
          <w:b/>
          <w:sz w:val="24"/>
          <w:szCs w:val="24"/>
        </w:rPr>
        <w:t xml:space="preserve">. </w:t>
      </w:r>
      <w:bookmarkStart w:id="0" w:name="_GoBack"/>
      <w:bookmarkEnd w:id="0"/>
      <w:r w:rsidRPr="00542BB1">
        <w:rPr>
          <w:rFonts w:eastAsia="微软雅黑" w:cs="Times New Roman"/>
          <w:b/>
          <w:sz w:val="24"/>
          <w:szCs w:val="24"/>
        </w:rPr>
        <w:t>Knowledge distribution</w:t>
      </w:r>
    </w:p>
    <w:tbl>
      <w:tblPr>
        <w:tblW w:w="14174"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0392"/>
        <w:gridCol w:w="1767"/>
        <w:gridCol w:w="2015"/>
      </w:tblGrid>
      <w:tr w:rsidR="000849CF" w:rsidRPr="00542BB1" w:rsidTr="00AE1029">
        <w:trPr>
          <w:trHeight w:val="344"/>
          <w:jc w:val="center"/>
        </w:trPr>
        <w:tc>
          <w:tcPr>
            <w:tcW w:w="10392" w:type="dxa"/>
            <w:shd w:val="clear" w:color="auto" w:fill="auto"/>
            <w:vAlign w:val="center"/>
          </w:tcPr>
          <w:p w:rsidR="000849CF" w:rsidRPr="00542BB1" w:rsidRDefault="000849CF" w:rsidP="000849CF">
            <w:pPr>
              <w:spacing w:line="480" w:lineRule="auto"/>
              <w:rPr>
                <w:rFonts w:eastAsia="微软雅黑" w:cs="Times New Roman"/>
                <w:b/>
                <w:kern w:val="0"/>
                <w:sz w:val="24"/>
                <w:szCs w:val="24"/>
              </w:rPr>
            </w:pPr>
            <w:r w:rsidRPr="00542BB1">
              <w:rPr>
                <w:rFonts w:eastAsia="微软雅黑" w:cs="Times New Roman"/>
                <w:b/>
                <w:kern w:val="0"/>
                <w:sz w:val="24"/>
                <w:szCs w:val="24"/>
              </w:rPr>
              <w:t>Knowledge</w:t>
            </w:r>
          </w:p>
        </w:tc>
        <w:tc>
          <w:tcPr>
            <w:tcW w:w="1767" w:type="dxa"/>
            <w:vAlign w:val="center"/>
          </w:tcPr>
          <w:p w:rsidR="000849CF" w:rsidRPr="00542BB1" w:rsidRDefault="000849CF" w:rsidP="000849CF">
            <w:pPr>
              <w:spacing w:line="480" w:lineRule="auto"/>
              <w:rPr>
                <w:rFonts w:eastAsia="微软雅黑" w:cs="Times New Roman"/>
                <w:b/>
                <w:kern w:val="0"/>
                <w:sz w:val="24"/>
                <w:szCs w:val="24"/>
              </w:rPr>
            </w:pPr>
            <w:r w:rsidRPr="00542BB1">
              <w:rPr>
                <w:rFonts w:eastAsia="微软雅黑" w:cs="Times New Roman"/>
                <w:kern w:val="0"/>
                <w:sz w:val="24"/>
                <w:szCs w:val="24"/>
              </w:rPr>
              <w:t>Correct N (%)</w:t>
            </w:r>
          </w:p>
        </w:tc>
        <w:tc>
          <w:tcPr>
            <w:tcW w:w="2015" w:type="dxa"/>
            <w:vAlign w:val="center"/>
          </w:tcPr>
          <w:p w:rsidR="000849CF" w:rsidRPr="00542BB1" w:rsidRDefault="000849CF" w:rsidP="000849CF">
            <w:pPr>
              <w:spacing w:line="480" w:lineRule="auto"/>
              <w:rPr>
                <w:rFonts w:eastAsia="微软雅黑" w:cs="Times New Roman"/>
                <w:b/>
                <w:kern w:val="0"/>
                <w:sz w:val="24"/>
                <w:szCs w:val="24"/>
              </w:rPr>
            </w:pPr>
            <w:r w:rsidRPr="00542BB1">
              <w:rPr>
                <w:rFonts w:eastAsia="微软雅黑" w:cs="Times New Roman"/>
                <w:kern w:val="0"/>
                <w:sz w:val="24"/>
                <w:szCs w:val="24"/>
              </w:rPr>
              <w:t>Score</w:t>
            </w:r>
          </w:p>
        </w:tc>
      </w:tr>
      <w:tr w:rsidR="000849CF" w:rsidRPr="00542BB1" w:rsidTr="00AE1029">
        <w:trPr>
          <w:jc w:val="center"/>
        </w:trPr>
        <w:tc>
          <w:tcPr>
            <w:tcW w:w="10392" w:type="dxa"/>
            <w:tcBorders>
              <w:bottom w:val="nil"/>
            </w:tcBorders>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1. Orthodontic treatment not only aligns teeth but can also improve facial structure and address functional problems caused by misalignment and malocclusion.</w:t>
            </w:r>
          </w:p>
        </w:tc>
        <w:tc>
          <w:tcPr>
            <w:tcW w:w="1767" w:type="dxa"/>
            <w:tcBorders>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688 (80.19)</w:t>
            </w:r>
          </w:p>
        </w:tc>
        <w:tc>
          <w:tcPr>
            <w:tcW w:w="2015" w:type="dxa"/>
            <w:tcBorders>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0.80±0.40</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lang w:eastAsia="zh-Hans"/>
              </w:rPr>
            </w:pPr>
            <w:r w:rsidRPr="00542BB1">
              <w:rPr>
                <w:rFonts w:eastAsia="微软雅黑" w:cs="Times New Roman"/>
                <w:sz w:val="24"/>
                <w:szCs w:val="24"/>
              </w:rPr>
              <w:t>2. Misaligned teeth result in improper bite relationship, leading to inefficient chewing during meals, insufficient nutrient absorption, and increased gastrointestinal burden.</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667 (77.74)</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0.78±0.43</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bCs/>
                <w:kern w:val="0"/>
                <w:sz w:val="24"/>
                <w:szCs w:val="24"/>
              </w:rPr>
            </w:pPr>
            <w:r w:rsidRPr="00542BB1">
              <w:rPr>
                <w:rFonts w:eastAsia="微软雅黑" w:cs="Times New Roman"/>
                <w:sz w:val="24"/>
                <w:szCs w:val="24"/>
              </w:rPr>
              <w:t>3. Irregular teeth create "hygiene dead zones" in the oral cavity, where food residues accumulate and breed bacteria, increasing the risk of dental caries and periodontal diseases.</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674 (78.55)</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0.79±0.41</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bCs/>
                <w:sz w:val="24"/>
                <w:szCs w:val="24"/>
                <w:lang w:eastAsia="zh-Hans"/>
              </w:rPr>
            </w:pPr>
            <w:r w:rsidRPr="00542BB1">
              <w:rPr>
                <w:rFonts w:eastAsia="微软雅黑" w:cs="Times New Roman"/>
                <w:sz w:val="24"/>
                <w:szCs w:val="24"/>
              </w:rPr>
              <w:t>4. Severe dental misalignment can affect overall facial growth and development, resulting in facial deformities such as "bimaxillary protrusion", "open bite" or "prognathism," exacerbating self-esteem issues.</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703 (81.93)</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0.82±0.38</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rPr>
            </w:pPr>
            <w:r w:rsidRPr="00542BB1">
              <w:rPr>
                <w:rFonts w:eastAsia="微软雅黑" w:cs="Times New Roman"/>
                <w:sz w:val="24"/>
                <w:szCs w:val="24"/>
              </w:rPr>
              <w:t>5. The optimal time to initiate orthodontic treatment is during the early permanent dentition stage (around 12 years old). Orthodontic treatment for adults is associated with increased difficulty, risk, and time, hence not recommended.</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141 (16.43)</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0.16±0.37</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rPr>
            </w:pPr>
            <w:r w:rsidRPr="00542BB1">
              <w:rPr>
                <w:rFonts w:eastAsia="微软雅黑" w:cs="Times New Roman"/>
                <w:sz w:val="24"/>
                <w:szCs w:val="24"/>
              </w:rPr>
              <w:lastRenderedPageBreak/>
              <w:t>6. The best time to treat "bimaxillary protrusion " is between 3.5 and 5 years old.</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432 (50.35)</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0.50±0.50</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rPr>
            </w:pPr>
            <w:r w:rsidRPr="00542BB1">
              <w:rPr>
                <w:rFonts w:eastAsia="微软雅黑" w:cs="Times New Roman"/>
                <w:sz w:val="24"/>
                <w:szCs w:val="24"/>
              </w:rPr>
              <w:t>7. Orthodontic treatment may cause toothache or tooth mobility.</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169 (19.70)</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0.20±0.40</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lang w:eastAsia="zh-Hans"/>
              </w:rPr>
            </w:pPr>
            <w:r w:rsidRPr="00542BB1">
              <w:rPr>
                <w:rFonts w:eastAsia="微软雅黑" w:cs="Times New Roman"/>
                <w:sz w:val="24"/>
                <w:szCs w:val="24"/>
              </w:rPr>
              <w:t>8. It is important to monitor periodontal health during orthodontic treatment to avoid secondary periodontal issues that may affect the treatment outcome.</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629 (73.31)</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0.73±0.44</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lang w:eastAsia="zh-Hans"/>
              </w:rPr>
            </w:pPr>
            <w:r w:rsidRPr="00542BB1">
              <w:rPr>
                <w:rFonts w:eastAsia="微软雅黑" w:cs="Times New Roman"/>
                <w:sz w:val="24"/>
                <w:szCs w:val="24"/>
              </w:rPr>
              <w:t>9. Tooth extraction does not harm adjacent teeth, and the gaps created during orthodontic treatment will gradually close without affecting chewing function and overall health.</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587 (68.41)</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0.68±0.47</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sz w:val="24"/>
                <w:szCs w:val="24"/>
                <w:lang w:eastAsia="zh-Hans"/>
              </w:rPr>
            </w:pPr>
            <w:r w:rsidRPr="00542BB1">
              <w:rPr>
                <w:rFonts w:eastAsia="微软雅黑" w:cs="Times New Roman"/>
                <w:sz w:val="24"/>
                <w:szCs w:val="24"/>
              </w:rPr>
              <w:t>10. Orthodontic appliances, also known as orthodontic braces, come in various types, including traditional metal braces, ceramic braces, self-ligating braces, lip-side fixed braces, lingual invisible braces, and clear aligners.</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611 (71.21)</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0.71±0.45</w:t>
            </w:r>
          </w:p>
        </w:tc>
      </w:tr>
      <w:tr w:rsidR="000849CF" w:rsidRPr="00542BB1" w:rsidTr="00AE1029">
        <w:trPr>
          <w:jc w:val="center"/>
        </w:trPr>
        <w:tc>
          <w:tcPr>
            <w:tcW w:w="10392" w:type="dxa"/>
            <w:tcBorders>
              <w:top w:val="nil"/>
              <w:bottom w:val="nil"/>
            </w:tcBorders>
          </w:tcPr>
          <w:p w:rsidR="000849CF" w:rsidRPr="00542BB1" w:rsidRDefault="000849CF" w:rsidP="000849CF">
            <w:pPr>
              <w:spacing w:line="480" w:lineRule="auto"/>
              <w:rPr>
                <w:rFonts w:eastAsia="微软雅黑" w:cs="Times New Roman"/>
                <w:b/>
                <w:bCs/>
                <w:sz w:val="24"/>
                <w:szCs w:val="24"/>
              </w:rPr>
            </w:pPr>
            <w:r w:rsidRPr="00542BB1">
              <w:rPr>
                <w:rFonts w:eastAsia="微软雅黑" w:cs="Times New Roman"/>
                <w:sz w:val="24"/>
                <w:szCs w:val="24"/>
              </w:rPr>
              <w:t>11. Invisible braces should be worn for no less than 18 hours per day.</w:t>
            </w:r>
          </w:p>
        </w:tc>
        <w:tc>
          <w:tcPr>
            <w:tcW w:w="1767"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57 (6.64)</w:t>
            </w:r>
          </w:p>
        </w:tc>
        <w:tc>
          <w:tcPr>
            <w:tcW w:w="2015" w:type="dxa"/>
            <w:tcBorders>
              <w:top w:val="nil"/>
              <w:bottom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0.07±0.25</w:t>
            </w:r>
          </w:p>
        </w:tc>
      </w:tr>
      <w:tr w:rsidR="000849CF" w:rsidRPr="00542BB1" w:rsidTr="00AE1029">
        <w:trPr>
          <w:jc w:val="center"/>
        </w:trPr>
        <w:tc>
          <w:tcPr>
            <w:tcW w:w="10392" w:type="dxa"/>
            <w:tcBorders>
              <w:top w:val="nil"/>
            </w:tcBorders>
          </w:tcPr>
          <w:p w:rsidR="000849CF" w:rsidRPr="00542BB1" w:rsidRDefault="000849CF" w:rsidP="000849CF">
            <w:pPr>
              <w:spacing w:line="480" w:lineRule="auto"/>
              <w:rPr>
                <w:rFonts w:eastAsia="微软雅黑" w:cs="Times New Roman"/>
                <w:b/>
                <w:bCs/>
                <w:sz w:val="24"/>
                <w:szCs w:val="24"/>
              </w:rPr>
            </w:pPr>
            <w:r w:rsidRPr="00542BB1">
              <w:rPr>
                <w:rFonts w:eastAsia="微软雅黑" w:cs="Times New Roman"/>
                <w:sz w:val="24"/>
                <w:szCs w:val="24"/>
              </w:rPr>
              <w:t>12. After removing the orthodontic brace, it is necessary to use a retainer to maintain the results of orthodontic treatment.</w:t>
            </w:r>
          </w:p>
        </w:tc>
        <w:tc>
          <w:tcPr>
            <w:tcW w:w="1767" w:type="dxa"/>
            <w:tcBorders>
              <w:top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653 (76.11)</w:t>
            </w:r>
          </w:p>
        </w:tc>
        <w:tc>
          <w:tcPr>
            <w:tcW w:w="2015" w:type="dxa"/>
            <w:tcBorders>
              <w:top w:val="nil"/>
            </w:tcBorders>
            <w:vAlign w:val="center"/>
          </w:tcPr>
          <w:p w:rsidR="000849CF" w:rsidRPr="00542BB1" w:rsidRDefault="000849CF" w:rsidP="000849CF">
            <w:pPr>
              <w:spacing w:line="480" w:lineRule="auto"/>
              <w:rPr>
                <w:rFonts w:eastAsia="微软雅黑" w:cs="Times New Roman"/>
                <w:kern w:val="0"/>
                <w:sz w:val="24"/>
                <w:szCs w:val="24"/>
              </w:rPr>
            </w:pPr>
            <w:r w:rsidRPr="00542BB1">
              <w:rPr>
                <w:rFonts w:eastAsia="微软雅黑" w:cs="Times New Roman"/>
                <w:sz w:val="24"/>
                <w:szCs w:val="24"/>
              </w:rPr>
              <w:t>0.76±0.43</w:t>
            </w:r>
          </w:p>
        </w:tc>
      </w:tr>
    </w:tbl>
    <w:p w:rsidR="00DB328F" w:rsidRPr="000849CF" w:rsidRDefault="00E314D2" w:rsidP="000849CF">
      <w:pPr>
        <w:spacing w:line="480" w:lineRule="auto"/>
        <w:rPr>
          <w:rFonts w:eastAsia="微软雅黑" w:cs="Times New Roman" w:hint="eastAsia"/>
          <w:b/>
          <w:sz w:val="24"/>
          <w:szCs w:val="24"/>
        </w:rPr>
      </w:pPr>
    </w:p>
    <w:sectPr w:rsidR="00DB328F" w:rsidRPr="000849CF" w:rsidSect="000849CF">
      <w:pgSz w:w="16838" w:h="11906" w:orient="landscape"/>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4D2" w:rsidRDefault="00E314D2" w:rsidP="000849CF">
      <w:r>
        <w:separator/>
      </w:r>
    </w:p>
  </w:endnote>
  <w:endnote w:type="continuationSeparator" w:id="0">
    <w:p w:rsidR="00E314D2" w:rsidRDefault="00E314D2" w:rsidP="0008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4D2" w:rsidRDefault="00E314D2" w:rsidP="000849CF">
      <w:r>
        <w:separator/>
      </w:r>
    </w:p>
  </w:footnote>
  <w:footnote w:type="continuationSeparator" w:id="0">
    <w:p w:rsidR="00E314D2" w:rsidRDefault="00E314D2" w:rsidP="000849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209"/>
    <w:rsid w:val="000849CF"/>
    <w:rsid w:val="00117261"/>
    <w:rsid w:val="005E7990"/>
    <w:rsid w:val="00C42209"/>
    <w:rsid w:val="00D318C4"/>
    <w:rsid w:val="00E31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9322E9-08A7-4BAD-9EB7-91E4FD93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9CF"/>
    <w:pPr>
      <w:jc w:val="both"/>
    </w:pPr>
    <w:rPr>
      <w:rFonts w:ascii="Times New Roman" w:eastAsia="宋体"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849CF"/>
    <w:pPr>
      <w:widowControl w:val="0"/>
      <w:pBdr>
        <w:bottom w:val="single" w:sz="6" w:space="1" w:color="auto"/>
      </w:pBdr>
      <w:tabs>
        <w:tab w:val="center" w:pos="4153"/>
        <w:tab w:val="right" w:pos="8306"/>
      </w:tabs>
      <w:snapToGrid w:val="0"/>
      <w:jc w:val="center"/>
    </w:pPr>
    <w:rPr>
      <w:rFonts w:asciiTheme="minorHAnsi" w:eastAsiaTheme="minorEastAsia" w:hAnsiTheme="minorHAnsi"/>
      <w:sz w:val="18"/>
      <w:szCs w:val="18"/>
    </w:rPr>
  </w:style>
  <w:style w:type="character" w:customStyle="1" w:styleId="Char">
    <w:name w:val="页眉 Char"/>
    <w:basedOn w:val="a0"/>
    <w:link w:val="a3"/>
    <w:uiPriority w:val="99"/>
    <w:rsid w:val="000849CF"/>
    <w:rPr>
      <w:sz w:val="18"/>
      <w:szCs w:val="18"/>
    </w:rPr>
  </w:style>
  <w:style w:type="paragraph" w:styleId="a4">
    <w:name w:val="footer"/>
    <w:basedOn w:val="a"/>
    <w:link w:val="Char0"/>
    <w:uiPriority w:val="99"/>
    <w:unhideWhenUsed/>
    <w:rsid w:val="000849CF"/>
    <w:pPr>
      <w:widowControl w:val="0"/>
      <w:tabs>
        <w:tab w:val="center" w:pos="4153"/>
        <w:tab w:val="right" w:pos="8306"/>
      </w:tabs>
      <w:snapToGrid w:val="0"/>
      <w:jc w:val="left"/>
    </w:pPr>
    <w:rPr>
      <w:rFonts w:asciiTheme="minorHAnsi" w:eastAsiaTheme="minorEastAsia" w:hAnsiTheme="minorHAnsi"/>
      <w:sz w:val="18"/>
      <w:szCs w:val="18"/>
    </w:rPr>
  </w:style>
  <w:style w:type="character" w:customStyle="1" w:styleId="Char0">
    <w:name w:val="页脚 Char"/>
    <w:basedOn w:val="a0"/>
    <w:link w:val="a4"/>
    <w:uiPriority w:val="99"/>
    <w:rsid w:val="000849CF"/>
    <w:rPr>
      <w:sz w:val="18"/>
      <w:szCs w:val="18"/>
    </w:rPr>
  </w:style>
  <w:style w:type="paragraph" w:customStyle="1" w:styleId="1">
    <w:name w:val="列出段落1"/>
    <w:basedOn w:val="a"/>
    <w:uiPriority w:val="34"/>
    <w:qFormat/>
    <w:rsid w:val="000849C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2023-10-20T06:18:00Z</dcterms:created>
  <dcterms:modified xsi:type="dcterms:W3CDTF">2023-10-20T06:20:00Z</dcterms:modified>
</cp:coreProperties>
</file>