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F23093" w14:textId="77777777" w:rsidR="00AE2206" w:rsidRDefault="00AE2206" w:rsidP="00C25664">
      <w:pPr>
        <w:jc w:val="both"/>
        <w:rPr>
          <w:rFonts w:ascii="Times New Roman" w:hAnsi="Times New Roman" w:cs="Times New Roman"/>
          <w:b/>
          <w:bCs/>
          <w:sz w:val="24"/>
          <w:szCs w:val="24"/>
        </w:rPr>
      </w:pPr>
      <w:r>
        <w:rPr>
          <w:rFonts w:ascii="Times New Roman" w:hAnsi="Times New Roman" w:cs="Times New Roman" w:hint="eastAsia"/>
          <w:b/>
          <w:bCs/>
          <w:sz w:val="24"/>
          <w:szCs w:val="24"/>
        </w:rPr>
        <w:t>S</w:t>
      </w:r>
      <w:r>
        <w:rPr>
          <w:rFonts w:ascii="Times New Roman" w:hAnsi="Times New Roman" w:cs="Times New Roman"/>
          <w:b/>
          <w:bCs/>
          <w:sz w:val="24"/>
          <w:szCs w:val="24"/>
        </w:rPr>
        <w:t>upplementary materials</w:t>
      </w:r>
    </w:p>
    <w:p w14:paraId="723E70DC" w14:textId="11C12D50" w:rsidR="00AE2206" w:rsidRPr="006F7B9A" w:rsidRDefault="00C76677" w:rsidP="00C25664">
      <w:pPr>
        <w:jc w:val="both"/>
        <w:rPr>
          <w:rFonts w:ascii="Times New Roman" w:hAnsi="Times New Roman" w:cs="Times New Roman"/>
          <w:color w:val="FF0000"/>
          <w:sz w:val="20"/>
          <w:szCs w:val="21"/>
          <w:lang w:eastAsia="zh-CN"/>
        </w:rPr>
      </w:pPr>
      <w:r w:rsidRPr="00C76677">
        <w:rPr>
          <w:rFonts w:ascii="Times New Roman" w:hAnsi="Times New Roman" w:cs="Times New Roman"/>
          <w:b/>
          <w:bCs/>
          <w:sz w:val="20"/>
          <w:szCs w:val="21"/>
        </w:rPr>
        <w:t>Supplementary Figure 1</w:t>
      </w:r>
      <w:r w:rsidRPr="00CF477C">
        <w:rPr>
          <w:rFonts w:ascii="Times New Roman" w:hAnsi="Times New Roman" w:cs="Times New Roman"/>
          <w:b/>
          <w:bCs/>
          <w:sz w:val="20"/>
          <w:szCs w:val="21"/>
        </w:rPr>
        <w:t>.</w:t>
      </w:r>
      <w:r>
        <w:rPr>
          <w:rFonts w:ascii="Times New Roman" w:hAnsi="Times New Roman" w:cs="Times New Roman" w:hint="eastAsia"/>
          <w:b/>
          <w:bCs/>
          <w:sz w:val="20"/>
          <w:szCs w:val="21"/>
          <w:lang w:eastAsia="zh-CN"/>
        </w:rPr>
        <w:t xml:space="preserve"> </w:t>
      </w:r>
      <w:r w:rsidRPr="00C76677">
        <w:rPr>
          <w:rFonts w:ascii="Times New Roman" w:hAnsi="Times New Roman" w:cs="Times New Roman"/>
          <w:sz w:val="20"/>
          <w:szCs w:val="21"/>
        </w:rPr>
        <w:t>Forest plot for the association between SUA levels and gastric cancer risk in European population</w:t>
      </w:r>
      <w:r>
        <w:rPr>
          <w:rFonts w:ascii="Times New Roman" w:hAnsi="Times New Roman" w:cs="Times New Roman" w:hint="eastAsia"/>
          <w:sz w:val="20"/>
          <w:szCs w:val="21"/>
          <w:lang w:eastAsia="zh-CN"/>
        </w:rPr>
        <w:t>.</w:t>
      </w:r>
      <w:r w:rsidR="006F7B9A">
        <w:rPr>
          <w:rFonts w:ascii="Times New Roman" w:hAnsi="Times New Roman" w:cs="Times New Roman" w:hint="eastAsia"/>
          <w:sz w:val="20"/>
          <w:szCs w:val="21"/>
          <w:lang w:eastAsia="zh-CN"/>
        </w:rPr>
        <w:t xml:space="preserve"> </w:t>
      </w:r>
      <w:r w:rsidR="006F7B9A" w:rsidRPr="006F7B9A">
        <w:rPr>
          <w:rFonts w:ascii="Times New Roman" w:hAnsi="Times New Roman" w:cs="Times New Roman"/>
          <w:color w:val="FF0000"/>
          <w:sz w:val="20"/>
          <w:szCs w:val="21"/>
          <w:lang w:eastAsia="zh-CN"/>
        </w:rPr>
        <w:t>Each black horizontal line represents the estimated effect derived from a single SNP. If the line is entirely to the left of zero, it indicates that an increase in SUA levels, as inferred from this SNP, is associated with a decreased risk of gastric cancer. Conversely, if the line lies entirely to the right of zero, it suggests that an increase in SUA levels may elevate the risk of gastric cancer. Lines that cross zero indicate inconclusive results. The red line at the bottom illustrates the combined effect estimated from all SNPs.</w:t>
      </w:r>
    </w:p>
    <w:p w14:paraId="607C92B1" w14:textId="3C5405DA" w:rsidR="00AE2206" w:rsidRPr="00C25664" w:rsidRDefault="00C76677" w:rsidP="00C25664">
      <w:pPr>
        <w:jc w:val="both"/>
        <w:rPr>
          <w:rFonts w:ascii="Times New Roman" w:hAnsi="Times New Roman" w:cs="Times New Roman"/>
          <w:color w:val="FF0000"/>
          <w:sz w:val="20"/>
          <w:szCs w:val="21"/>
          <w:lang w:eastAsia="zh-CN"/>
        </w:rPr>
      </w:pPr>
      <w:r w:rsidRPr="00C76677">
        <w:rPr>
          <w:rFonts w:ascii="Times New Roman" w:hAnsi="Times New Roman" w:cs="Times New Roman"/>
          <w:b/>
          <w:bCs/>
          <w:sz w:val="20"/>
          <w:szCs w:val="21"/>
        </w:rPr>
        <w:t xml:space="preserve">Supplementary Figure </w:t>
      </w:r>
      <w:r>
        <w:rPr>
          <w:rFonts w:ascii="Times New Roman" w:hAnsi="Times New Roman" w:cs="Times New Roman" w:hint="eastAsia"/>
          <w:b/>
          <w:bCs/>
          <w:sz w:val="20"/>
          <w:szCs w:val="21"/>
          <w:lang w:eastAsia="zh-CN"/>
        </w:rPr>
        <w:t>2</w:t>
      </w:r>
      <w:r w:rsidRPr="00CF477C">
        <w:rPr>
          <w:rFonts w:ascii="Times New Roman" w:hAnsi="Times New Roman" w:cs="Times New Roman"/>
          <w:b/>
          <w:bCs/>
          <w:sz w:val="20"/>
          <w:szCs w:val="21"/>
        </w:rPr>
        <w:t>.</w:t>
      </w:r>
      <w:r>
        <w:rPr>
          <w:rFonts w:ascii="Times New Roman" w:hAnsi="Times New Roman" w:cs="Times New Roman" w:hint="eastAsia"/>
          <w:b/>
          <w:bCs/>
          <w:sz w:val="20"/>
          <w:szCs w:val="21"/>
          <w:lang w:eastAsia="zh-CN"/>
        </w:rPr>
        <w:t xml:space="preserve"> </w:t>
      </w:r>
      <w:r w:rsidRPr="00C76677">
        <w:rPr>
          <w:rFonts w:ascii="Times New Roman" w:hAnsi="Times New Roman" w:cs="Times New Roman"/>
          <w:sz w:val="20"/>
          <w:szCs w:val="21"/>
        </w:rPr>
        <w:t>Funnel plot to evaluate heterogeneity of MR estimates for the causality of SUA levels on gastric cancer risk in European population</w:t>
      </w:r>
      <w:r>
        <w:rPr>
          <w:rFonts w:ascii="Times New Roman" w:hAnsi="Times New Roman" w:cs="Times New Roman" w:hint="eastAsia"/>
          <w:sz w:val="20"/>
          <w:szCs w:val="21"/>
          <w:lang w:eastAsia="zh-CN"/>
        </w:rPr>
        <w:t>.</w:t>
      </w:r>
      <w:r w:rsidR="00C25664">
        <w:rPr>
          <w:rFonts w:ascii="Times New Roman" w:hAnsi="Times New Roman" w:cs="Times New Roman" w:hint="eastAsia"/>
          <w:sz w:val="20"/>
          <w:szCs w:val="21"/>
          <w:lang w:eastAsia="zh-CN"/>
        </w:rPr>
        <w:t xml:space="preserve"> </w:t>
      </w:r>
      <w:r w:rsidR="00C25664" w:rsidRPr="00C25664">
        <w:rPr>
          <w:rFonts w:ascii="Times New Roman" w:hAnsi="Times New Roman" w:cs="Times New Roman"/>
          <w:color w:val="FF0000"/>
          <w:sz w:val="20"/>
          <w:szCs w:val="21"/>
          <w:lang w:eastAsia="zh-CN"/>
        </w:rPr>
        <w:t>Funnel plot was employed to assess the heterogeneity of the causal effect estimate. The stability of this estimate was determined by examining the symmetry of the funnel plot.   Asymmetry within the funnel plot suggests the potential presence of directional pleiotropy, which could influence the results of the MR analysis.</w:t>
      </w:r>
    </w:p>
    <w:p w14:paraId="26148A5C" w14:textId="72255392" w:rsidR="00AE2206" w:rsidRPr="00C25664" w:rsidRDefault="00C76677" w:rsidP="00C25664">
      <w:pPr>
        <w:jc w:val="both"/>
        <w:rPr>
          <w:rFonts w:ascii="Times New Roman" w:hAnsi="Times New Roman" w:cs="Times New Roman"/>
          <w:color w:val="FF0000"/>
          <w:sz w:val="20"/>
          <w:szCs w:val="21"/>
          <w:lang w:eastAsia="zh-CN"/>
        </w:rPr>
      </w:pPr>
      <w:r w:rsidRPr="00C76677">
        <w:rPr>
          <w:rFonts w:ascii="Times New Roman" w:hAnsi="Times New Roman" w:cs="Times New Roman"/>
          <w:b/>
          <w:bCs/>
          <w:sz w:val="20"/>
          <w:szCs w:val="21"/>
        </w:rPr>
        <w:t xml:space="preserve">Supplementary Figure </w:t>
      </w:r>
      <w:r>
        <w:rPr>
          <w:rFonts w:ascii="Times New Roman" w:hAnsi="Times New Roman" w:cs="Times New Roman" w:hint="eastAsia"/>
          <w:b/>
          <w:bCs/>
          <w:sz w:val="20"/>
          <w:szCs w:val="21"/>
          <w:lang w:eastAsia="zh-CN"/>
        </w:rPr>
        <w:t>3</w:t>
      </w:r>
      <w:r w:rsidRPr="00CF477C">
        <w:rPr>
          <w:rFonts w:ascii="Times New Roman" w:hAnsi="Times New Roman" w:cs="Times New Roman"/>
          <w:b/>
          <w:bCs/>
          <w:sz w:val="20"/>
          <w:szCs w:val="21"/>
        </w:rPr>
        <w:t>.</w:t>
      </w:r>
      <w:r>
        <w:rPr>
          <w:rFonts w:ascii="Times New Roman" w:hAnsi="Times New Roman" w:cs="Times New Roman" w:hint="eastAsia"/>
          <w:b/>
          <w:bCs/>
          <w:sz w:val="20"/>
          <w:szCs w:val="21"/>
          <w:lang w:eastAsia="zh-CN"/>
        </w:rPr>
        <w:t xml:space="preserve"> </w:t>
      </w:r>
      <w:r w:rsidR="006513E4" w:rsidRPr="006513E4">
        <w:rPr>
          <w:rFonts w:ascii="Times New Roman" w:hAnsi="Times New Roman" w:cs="Times New Roman"/>
          <w:sz w:val="20"/>
          <w:szCs w:val="21"/>
        </w:rPr>
        <w:t>Leave-one-out plot of the estimated effect of SUA levels on risk of gastric cancer in European population</w:t>
      </w:r>
      <w:r w:rsidR="00C25664">
        <w:rPr>
          <w:rFonts w:ascii="Times New Roman" w:hAnsi="Times New Roman" w:cs="Times New Roman" w:hint="eastAsia"/>
          <w:sz w:val="20"/>
          <w:szCs w:val="21"/>
          <w:lang w:eastAsia="zh-CN"/>
        </w:rPr>
        <w:t xml:space="preserve">. </w:t>
      </w:r>
      <w:r w:rsidR="00C25664" w:rsidRPr="00C25664">
        <w:rPr>
          <w:rFonts w:ascii="Times New Roman" w:hAnsi="Times New Roman" w:cs="Times New Roman"/>
          <w:color w:val="FF0000"/>
          <w:sz w:val="20"/>
          <w:szCs w:val="21"/>
          <w:lang w:eastAsia="zh-CN"/>
        </w:rPr>
        <w:t xml:space="preserve">Leave-one-out plot is dedicated to </w:t>
      </w:r>
      <w:r w:rsidR="00113EFD">
        <w:rPr>
          <w:rFonts w:ascii="Times New Roman" w:hAnsi="Times New Roman" w:cs="Times New Roman" w:hint="eastAsia"/>
          <w:color w:val="FF0000"/>
          <w:sz w:val="20"/>
          <w:szCs w:val="21"/>
          <w:lang w:eastAsia="zh-CN"/>
        </w:rPr>
        <w:t xml:space="preserve">assess </w:t>
      </w:r>
      <w:r w:rsidR="00C25664" w:rsidRPr="00C25664">
        <w:rPr>
          <w:rFonts w:ascii="Times New Roman" w:hAnsi="Times New Roman" w:cs="Times New Roman"/>
          <w:color w:val="FF0000"/>
          <w:sz w:val="20"/>
          <w:szCs w:val="21"/>
          <w:lang w:eastAsia="zh-CN"/>
        </w:rPr>
        <w:t>the contribution and stability of each SNP to the overall MR effect. Each black horizontal line represents the estimated result derived from the collective influence of all remaining SNPs after excluding a specific SNP. If the exclusion of a particular SNP leads to a significant change in results, this suggests that the excluded SNP has a substantial impact on the outcome, indicating the presence of an outlier that may need to be removed.</w:t>
      </w:r>
    </w:p>
    <w:p w14:paraId="7D0CC123" w14:textId="28F91BCE" w:rsidR="00AE2206" w:rsidRPr="00CF477C" w:rsidRDefault="00C76677" w:rsidP="00C25664">
      <w:pPr>
        <w:jc w:val="both"/>
        <w:rPr>
          <w:rFonts w:ascii="Times New Roman" w:hAnsi="Times New Roman" w:cs="Times New Roman"/>
          <w:sz w:val="20"/>
          <w:szCs w:val="21"/>
          <w:lang w:eastAsia="zh-CN"/>
        </w:rPr>
      </w:pPr>
      <w:r w:rsidRPr="00C76677">
        <w:rPr>
          <w:rFonts w:ascii="Times New Roman" w:hAnsi="Times New Roman" w:cs="Times New Roman"/>
          <w:b/>
          <w:bCs/>
          <w:sz w:val="20"/>
          <w:szCs w:val="21"/>
        </w:rPr>
        <w:t xml:space="preserve">Supplementary Figure </w:t>
      </w:r>
      <w:r>
        <w:rPr>
          <w:rFonts w:ascii="Times New Roman" w:hAnsi="Times New Roman" w:cs="Times New Roman" w:hint="eastAsia"/>
          <w:b/>
          <w:bCs/>
          <w:sz w:val="20"/>
          <w:szCs w:val="21"/>
          <w:lang w:eastAsia="zh-CN"/>
        </w:rPr>
        <w:t>4</w:t>
      </w:r>
      <w:r w:rsidRPr="00CF477C">
        <w:rPr>
          <w:rFonts w:ascii="Times New Roman" w:hAnsi="Times New Roman" w:cs="Times New Roman"/>
          <w:b/>
          <w:bCs/>
          <w:sz w:val="20"/>
          <w:szCs w:val="21"/>
        </w:rPr>
        <w:t>.</w:t>
      </w:r>
      <w:r>
        <w:rPr>
          <w:rFonts w:ascii="Times New Roman" w:hAnsi="Times New Roman" w:cs="Times New Roman" w:hint="eastAsia"/>
          <w:b/>
          <w:bCs/>
          <w:sz w:val="20"/>
          <w:szCs w:val="21"/>
          <w:lang w:eastAsia="zh-CN"/>
        </w:rPr>
        <w:t xml:space="preserve"> </w:t>
      </w:r>
      <w:r w:rsidR="006513E4" w:rsidRPr="006513E4">
        <w:rPr>
          <w:rFonts w:ascii="Times New Roman" w:hAnsi="Times New Roman" w:cs="Times New Roman"/>
          <w:sz w:val="20"/>
          <w:szCs w:val="21"/>
        </w:rPr>
        <w:t>Forest plot for the association between SUA levels and gastric cancer risk in East Asian population</w:t>
      </w:r>
      <w:r w:rsidR="006F7B9A">
        <w:rPr>
          <w:rFonts w:ascii="Times New Roman" w:hAnsi="Times New Roman" w:cs="Times New Roman" w:hint="eastAsia"/>
          <w:sz w:val="20"/>
          <w:szCs w:val="21"/>
          <w:lang w:eastAsia="zh-CN"/>
        </w:rPr>
        <w:t>.</w:t>
      </w:r>
      <w:r w:rsidR="006F7B9A" w:rsidRPr="006F7B9A">
        <w:rPr>
          <w:rFonts w:ascii="Times New Roman" w:hAnsi="Times New Roman" w:cs="Times New Roman"/>
          <w:color w:val="FF0000"/>
          <w:sz w:val="20"/>
          <w:szCs w:val="21"/>
          <w:lang w:eastAsia="zh-CN"/>
        </w:rPr>
        <w:t xml:space="preserve"> Each black horizontal line represents the estimated effect derived from a single SNP. If the line is entirely to the left of zero, it indicates that an increase in SUA levels, as inferred from this SNP, is associated with a decreased risk of gastric cancer. Conversely, if the line lies entirely to the right of zero, it suggests that an increase in SUA levels may elevate the risk of gastric cancer. Lines that cross zero indicate inconclusive results. The red line at the bottom illustrates the combined effect estimated from all SNPs.</w:t>
      </w:r>
    </w:p>
    <w:p w14:paraId="6D5A541F" w14:textId="2E146CA1" w:rsidR="00AE2206" w:rsidRPr="00C25664" w:rsidRDefault="00C76677" w:rsidP="00C25664">
      <w:pPr>
        <w:jc w:val="both"/>
        <w:rPr>
          <w:rFonts w:ascii="Times New Roman" w:hAnsi="Times New Roman" w:cs="Times New Roman"/>
          <w:color w:val="FF0000"/>
          <w:sz w:val="20"/>
          <w:szCs w:val="21"/>
          <w:lang w:eastAsia="zh-CN"/>
        </w:rPr>
      </w:pPr>
      <w:r w:rsidRPr="00C76677">
        <w:rPr>
          <w:rFonts w:ascii="Times New Roman" w:hAnsi="Times New Roman" w:cs="Times New Roman"/>
          <w:b/>
          <w:bCs/>
          <w:sz w:val="20"/>
          <w:szCs w:val="21"/>
        </w:rPr>
        <w:t xml:space="preserve">Supplementary Figure </w:t>
      </w:r>
      <w:r>
        <w:rPr>
          <w:rFonts w:ascii="Times New Roman" w:hAnsi="Times New Roman" w:cs="Times New Roman" w:hint="eastAsia"/>
          <w:b/>
          <w:bCs/>
          <w:sz w:val="20"/>
          <w:szCs w:val="21"/>
          <w:lang w:eastAsia="zh-CN"/>
        </w:rPr>
        <w:t>5</w:t>
      </w:r>
      <w:r w:rsidRPr="00CF477C">
        <w:rPr>
          <w:rFonts w:ascii="Times New Roman" w:hAnsi="Times New Roman" w:cs="Times New Roman"/>
          <w:b/>
          <w:bCs/>
          <w:sz w:val="20"/>
          <w:szCs w:val="21"/>
        </w:rPr>
        <w:t>.</w:t>
      </w:r>
      <w:r>
        <w:rPr>
          <w:rFonts w:ascii="Times New Roman" w:hAnsi="Times New Roman" w:cs="Times New Roman" w:hint="eastAsia"/>
          <w:b/>
          <w:bCs/>
          <w:sz w:val="20"/>
          <w:szCs w:val="21"/>
          <w:lang w:eastAsia="zh-CN"/>
        </w:rPr>
        <w:t xml:space="preserve"> </w:t>
      </w:r>
      <w:r w:rsidR="006513E4" w:rsidRPr="006513E4">
        <w:rPr>
          <w:rFonts w:ascii="Times New Roman" w:hAnsi="Times New Roman" w:cs="Times New Roman"/>
          <w:sz w:val="20"/>
          <w:szCs w:val="21"/>
        </w:rPr>
        <w:t>Funnel plot to evaluate heterogeneity of MR estimates for the causality of SUA levels on gastric cancer risk in East Asian population</w:t>
      </w:r>
      <w:r w:rsidR="00C25664">
        <w:rPr>
          <w:rFonts w:ascii="Times New Roman" w:hAnsi="Times New Roman" w:cs="Times New Roman" w:hint="eastAsia"/>
          <w:sz w:val="20"/>
          <w:szCs w:val="21"/>
          <w:lang w:eastAsia="zh-CN"/>
        </w:rPr>
        <w:t xml:space="preserve">. </w:t>
      </w:r>
      <w:r w:rsidR="00C25664" w:rsidRPr="00C25664">
        <w:rPr>
          <w:rFonts w:ascii="Times New Roman" w:hAnsi="Times New Roman" w:cs="Times New Roman"/>
          <w:color w:val="FF0000"/>
          <w:sz w:val="20"/>
          <w:szCs w:val="21"/>
          <w:lang w:eastAsia="zh-CN"/>
        </w:rPr>
        <w:t>Funnel plot was employed to assess the heterogeneity of the causal effect estimate. The stability of this estimate was determined by examining the symmetry of the funnel plot.   Asymmetry within the funnel plot suggests the potential presence of directional pleiotropy, which could influence the results of the MR analysis.</w:t>
      </w:r>
    </w:p>
    <w:p w14:paraId="3D5A2591" w14:textId="391AE596" w:rsidR="00AE2206" w:rsidRPr="00C25664" w:rsidRDefault="00C76677" w:rsidP="00C25664">
      <w:pPr>
        <w:jc w:val="both"/>
        <w:rPr>
          <w:rFonts w:ascii="Times New Roman" w:hAnsi="Times New Roman" w:cs="Times New Roman"/>
          <w:color w:val="FF0000"/>
          <w:sz w:val="20"/>
          <w:szCs w:val="21"/>
          <w:lang w:eastAsia="zh-CN"/>
        </w:rPr>
      </w:pPr>
      <w:r w:rsidRPr="00C76677">
        <w:rPr>
          <w:rFonts w:ascii="Times New Roman" w:hAnsi="Times New Roman" w:cs="Times New Roman"/>
          <w:b/>
          <w:bCs/>
          <w:sz w:val="20"/>
          <w:szCs w:val="21"/>
        </w:rPr>
        <w:t xml:space="preserve">Supplementary Figure </w:t>
      </w:r>
      <w:r>
        <w:rPr>
          <w:rFonts w:ascii="Times New Roman" w:hAnsi="Times New Roman" w:cs="Times New Roman" w:hint="eastAsia"/>
          <w:b/>
          <w:bCs/>
          <w:sz w:val="20"/>
          <w:szCs w:val="21"/>
          <w:lang w:eastAsia="zh-CN"/>
        </w:rPr>
        <w:t>6</w:t>
      </w:r>
      <w:r w:rsidRPr="00CF477C">
        <w:rPr>
          <w:rFonts w:ascii="Times New Roman" w:hAnsi="Times New Roman" w:cs="Times New Roman"/>
          <w:b/>
          <w:bCs/>
          <w:sz w:val="20"/>
          <w:szCs w:val="21"/>
        </w:rPr>
        <w:t>.</w:t>
      </w:r>
      <w:r>
        <w:rPr>
          <w:rFonts w:ascii="Times New Roman" w:hAnsi="Times New Roman" w:cs="Times New Roman" w:hint="eastAsia"/>
          <w:b/>
          <w:bCs/>
          <w:sz w:val="20"/>
          <w:szCs w:val="21"/>
          <w:lang w:eastAsia="zh-CN"/>
        </w:rPr>
        <w:t xml:space="preserve"> </w:t>
      </w:r>
      <w:r w:rsidR="006513E4" w:rsidRPr="006513E4">
        <w:rPr>
          <w:rFonts w:ascii="Times New Roman" w:hAnsi="Times New Roman" w:cs="Times New Roman"/>
          <w:sz w:val="20"/>
          <w:szCs w:val="21"/>
        </w:rPr>
        <w:t>Leave-one-out plot of the estimated effect of SUA levels on risk of gastric cancer in East Asian population</w:t>
      </w:r>
      <w:r w:rsidR="00C25664">
        <w:rPr>
          <w:rFonts w:ascii="Times New Roman" w:hAnsi="Times New Roman" w:cs="Times New Roman" w:hint="eastAsia"/>
          <w:sz w:val="20"/>
          <w:szCs w:val="21"/>
          <w:lang w:eastAsia="zh-CN"/>
        </w:rPr>
        <w:t xml:space="preserve">. </w:t>
      </w:r>
      <w:r w:rsidR="00C25664" w:rsidRPr="00C25664">
        <w:rPr>
          <w:rFonts w:ascii="Times New Roman" w:hAnsi="Times New Roman" w:cs="Times New Roman"/>
          <w:color w:val="FF0000"/>
          <w:sz w:val="20"/>
          <w:szCs w:val="21"/>
          <w:lang w:eastAsia="zh-CN"/>
        </w:rPr>
        <w:t xml:space="preserve">Leave-one-out plot is dedicated to </w:t>
      </w:r>
      <w:r w:rsidR="00113EFD">
        <w:rPr>
          <w:rFonts w:ascii="Times New Roman" w:hAnsi="Times New Roman" w:cs="Times New Roman" w:hint="eastAsia"/>
          <w:color w:val="FF0000"/>
          <w:sz w:val="20"/>
          <w:szCs w:val="21"/>
          <w:lang w:eastAsia="zh-CN"/>
        </w:rPr>
        <w:t>assess</w:t>
      </w:r>
      <w:r w:rsidR="00C25664" w:rsidRPr="00C25664">
        <w:rPr>
          <w:rFonts w:ascii="Times New Roman" w:hAnsi="Times New Roman" w:cs="Times New Roman"/>
          <w:color w:val="FF0000"/>
          <w:sz w:val="20"/>
          <w:szCs w:val="21"/>
          <w:lang w:eastAsia="zh-CN"/>
        </w:rPr>
        <w:t xml:space="preserve"> the contribution and stability of each SNP to the overall MR effect. Each black horizontal line represents the estimated result derived from the collective influence of all remaining SNPs after excluding a specific SNP. If the exclusion of a particular SNP leads to a significant change in results, this suggests that the excluded SNP has a substantial impact on the outcome, indicating the presence of an outlier that may need to be removed.</w:t>
      </w:r>
    </w:p>
    <w:p w14:paraId="466012B4" w14:textId="4304ABAA" w:rsidR="00AE2206" w:rsidRPr="00CF477C" w:rsidRDefault="00C76677" w:rsidP="00C25664">
      <w:pPr>
        <w:jc w:val="both"/>
        <w:rPr>
          <w:rFonts w:ascii="Times New Roman" w:hAnsi="Times New Roman" w:cs="Times New Roman"/>
          <w:sz w:val="20"/>
          <w:szCs w:val="21"/>
          <w:lang w:eastAsia="zh-CN"/>
        </w:rPr>
      </w:pPr>
      <w:r w:rsidRPr="00C76677">
        <w:rPr>
          <w:rFonts w:ascii="Times New Roman" w:hAnsi="Times New Roman" w:cs="Times New Roman"/>
          <w:b/>
          <w:bCs/>
          <w:sz w:val="20"/>
          <w:szCs w:val="21"/>
        </w:rPr>
        <w:t xml:space="preserve">Supplementary </w:t>
      </w:r>
      <w:r>
        <w:rPr>
          <w:rFonts w:ascii="Times New Roman" w:hAnsi="Times New Roman" w:cs="Times New Roman" w:hint="eastAsia"/>
          <w:b/>
          <w:bCs/>
          <w:sz w:val="20"/>
          <w:szCs w:val="21"/>
          <w:lang w:eastAsia="zh-CN"/>
        </w:rPr>
        <w:t>Table</w:t>
      </w:r>
      <w:r w:rsidRPr="00C76677">
        <w:rPr>
          <w:rFonts w:ascii="Times New Roman" w:hAnsi="Times New Roman" w:cs="Times New Roman"/>
          <w:b/>
          <w:bCs/>
          <w:sz w:val="20"/>
          <w:szCs w:val="21"/>
        </w:rPr>
        <w:t xml:space="preserve"> 1</w:t>
      </w:r>
      <w:r w:rsidRPr="00CF477C">
        <w:rPr>
          <w:rFonts w:ascii="Times New Roman" w:hAnsi="Times New Roman" w:cs="Times New Roman"/>
          <w:b/>
          <w:bCs/>
          <w:sz w:val="20"/>
          <w:szCs w:val="21"/>
        </w:rPr>
        <w:t>.</w:t>
      </w:r>
      <w:r>
        <w:rPr>
          <w:rFonts w:ascii="Times New Roman" w:hAnsi="Times New Roman" w:cs="Times New Roman" w:hint="eastAsia"/>
          <w:b/>
          <w:bCs/>
          <w:sz w:val="20"/>
          <w:szCs w:val="21"/>
          <w:lang w:eastAsia="zh-CN"/>
        </w:rPr>
        <w:t xml:space="preserve"> </w:t>
      </w:r>
      <w:r w:rsidR="00AE2206" w:rsidRPr="00CF477C">
        <w:rPr>
          <w:rFonts w:ascii="Times New Roman" w:hAnsi="Times New Roman" w:cs="Times New Roman"/>
          <w:sz w:val="20"/>
          <w:szCs w:val="21"/>
        </w:rPr>
        <w:t xml:space="preserve"> </w:t>
      </w:r>
      <w:r w:rsidR="006513E4" w:rsidRPr="006513E4">
        <w:rPr>
          <w:rFonts w:ascii="Times New Roman" w:hAnsi="Times New Roman" w:cs="Times New Roman"/>
          <w:sz w:val="20"/>
          <w:szCs w:val="21"/>
        </w:rPr>
        <w:t>STROBE</w:t>
      </w:r>
      <w:r w:rsidR="004B5083">
        <w:rPr>
          <w:rFonts w:ascii="Times New Roman" w:hAnsi="Times New Roman" w:cs="Times New Roman" w:hint="eastAsia"/>
          <w:sz w:val="20"/>
          <w:szCs w:val="21"/>
          <w:lang w:eastAsia="zh-CN"/>
        </w:rPr>
        <w:t>-</w:t>
      </w:r>
      <w:r w:rsidR="006513E4" w:rsidRPr="006513E4">
        <w:rPr>
          <w:rFonts w:ascii="Times New Roman" w:hAnsi="Times New Roman" w:cs="Times New Roman"/>
          <w:sz w:val="20"/>
          <w:szCs w:val="21"/>
        </w:rPr>
        <w:t>MR Checklist of Recommended Items to Address in Reports of Mendelian Randomization Studies</w:t>
      </w:r>
      <w:r w:rsidR="00EA7C9C">
        <w:rPr>
          <w:rFonts w:ascii="Times New Roman" w:hAnsi="Times New Roman" w:cs="Times New Roman" w:hint="eastAsia"/>
          <w:sz w:val="20"/>
          <w:szCs w:val="21"/>
          <w:lang w:eastAsia="zh-CN"/>
        </w:rPr>
        <w:t>.</w:t>
      </w:r>
    </w:p>
    <w:p w14:paraId="6EBA53DC" w14:textId="253A7299" w:rsidR="00AE2206" w:rsidRPr="00CF477C" w:rsidRDefault="00C76677" w:rsidP="00C25664">
      <w:pPr>
        <w:jc w:val="both"/>
        <w:rPr>
          <w:rFonts w:ascii="Times New Roman" w:hAnsi="Times New Roman" w:cs="Times New Roman"/>
          <w:sz w:val="20"/>
          <w:szCs w:val="21"/>
          <w:lang w:eastAsia="zh-CN"/>
        </w:rPr>
      </w:pPr>
      <w:r w:rsidRPr="00C76677">
        <w:rPr>
          <w:rFonts w:ascii="Times New Roman" w:hAnsi="Times New Roman" w:cs="Times New Roman"/>
          <w:b/>
          <w:bCs/>
          <w:sz w:val="20"/>
          <w:szCs w:val="21"/>
        </w:rPr>
        <w:t xml:space="preserve">Supplementary </w:t>
      </w:r>
      <w:r>
        <w:rPr>
          <w:rFonts w:ascii="Times New Roman" w:hAnsi="Times New Roman" w:cs="Times New Roman" w:hint="eastAsia"/>
          <w:b/>
          <w:bCs/>
          <w:sz w:val="20"/>
          <w:szCs w:val="21"/>
          <w:lang w:eastAsia="zh-CN"/>
        </w:rPr>
        <w:t>Table</w:t>
      </w:r>
      <w:r w:rsidRPr="00C76677">
        <w:rPr>
          <w:rFonts w:ascii="Times New Roman" w:hAnsi="Times New Roman" w:cs="Times New Roman"/>
          <w:b/>
          <w:bCs/>
          <w:sz w:val="20"/>
          <w:szCs w:val="21"/>
        </w:rPr>
        <w:t xml:space="preserve"> </w:t>
      </w:r>
      <w:r>
        <w:rPr>
          <w:rFonts w:ascii="Times New Roman" w:hAnsi="Times New Roman" w:cs="Times New Roman" w:hint="eastAsia"/>
          <w:b/>
          <w:bCs/>
          <w:sz w:val="20"/>
          <w:szCs w:val="21"/>
          <w:lang w:eastAsia="zh-CN"/>
        </w:rPr>
        <w:t>2</w:t>
      </w:r>
      <w:r w:rsidRPr="00CF477C">
        <w:rPr>
          <w:rFonts w:ascii="Times New Roman" w:hAnsi="Times New Roman" w:cs="Times New Roman"/>
          <w:b/>
          <w:bCs/>
          <w:sz w:val="20"/>
          <w:szCs w:val="21"/>
        </w:rPr>
        <w:t>.</w:t>
      </w:r>
      <w:r w:rsidR="00AE2206" w:rsidRPr="00CF477C">
        <w:rPr>
          <w:rFonts w:ascii="Times New Roman" w:hAnsi="Times New Roman" w:cs="Times New Roman"/>
          <w:b/>
          <w:bCs/>
          <w:sz w:val="20"/>
          <w:szCs w:val="21"/>
        </w:rPr>
        <w:t xml:space="preserve"> </w:t>
      </w:r>
      <w:r w:rsidR="006513E4" w:rsidRPr="006513E4">
        <w:rPr>
          <w:rFonts w:ascii="Times New Roman" w:hAnsi="Times New Roman" w:cs="Times New Roman"/>
          <w:sz w:val="20"/>
          <w:szCs w:val="21"/>
        </w:rPr>
        <w:t>Summary statistics for 206 SNPs used to estimate the causal effect of SUA on gastric cancer in European population</w:t>
      </w:r>
      <w:r w:rsidR="00EA7C9C">
        <w:rPr>
          <w:rFonts w:ascii="Times New Roman" w:hAnsi="Times New Roman" w:cs="Times New Roman" w:hint="eastAsia"/>
          <w:sz w:val="20"/>
          <w:szCs w:val="21"/>
          <w:lang w:eastAsia="zh-CN"/>
        </w:rPr>
        <w:t>.</w:t>
      </w:r>
    </w:p>
    <w:p w14:paraId="009D4982" w14:textId="4E4B2941" w:rsidR="0018386E" w:rsidRPr="00C76677" w:rsidRDefault="00C76677" w:rsidP="00C25664">
      <w:pPr>
        <w:jc w:val="both"/>
        <w:rPr>
          <w:rFonts w:ascii="Times New Roman" w:hAnsi="Times New Roman" w:cs="Times New Roman"/>
          <w:b/>
          <w:bCs/>
          <w:sz w:val="20"/>
          <w:szCs w:val="21"/>
          <w:lang w:eastAsia="zh-CN"/>
        </w:rPr>
      </w:pPr>
      <w:r w:rsidRPr="00C76677">
        <w:rPr>
          <w:rFonts w:ascii="Times New Roman" w:hAnsi="Times New Roman" w:cs="Times New Roman"/>
          <w:b/>
          <w:bCs/>
          <w:sz w:val="20"/>
          <w:szCs w:val="21"/>
        </w:rPr>
        <w:t xml:space="preserve">Supplementary </w:t>
      </w:r>
      <w:r>
        <w:rPr>
          <w:rFonts w:ascii="Times New Roman" w:hAnsi="Times New Roman" w:cs="Times New Roman" w:hint="eastAsia"/>
          <w:b/>
          <w:bCs/>
          <w:sz w:val="20"/>
          <w:szCs w:val="21"/>
          <w:lang w:eastAsia="zh-CN"/>
        </w:rPr>
        <w:t>Table</w:t>
      </w:r>
      <w:r w:rsidRPr="00C76677">
        <w:rPr>
          <w:rFonts w:ascii="Times New Roman" w:hAnsi="Times New Roman" w:cs="Times New Roman"/>
          <w:b/>
          <w:bCs/>
          <w:sz w:val="20"/>
          <w:szCs w:val="21"/>
        </w:rPr>
        <w:t xml:space="preserve"> </w:t>
      </w:r>
      <w:r>
        <w:rPr>
          <w:rFonts w:ascii="Times New Roman" w:hAnsi="Times New Roman" w:cs="Times New Roman" w:hint="eastAsia"/>
          <w:b/>
          <w:bCs/>
          <w:sz w:val="20"/>
          <w:szCs w:val="21"/>
          <w:lang w:eastAsia="zh-CN"/>
        </w:rPr>
        <w:t>3</w:t>
      </w:r>
      <w:r w:rsidRPr="00CF477C">
        <w:rPr>
          <w:rFonts w:ascii="Times New Roman" w:hAnsi="Times New Roman" w:cs="Times New Roman"/>
          <w:b/>
          <w:bCs/>
          <w:sz w:val="20"/>
          <w:szCs w:val="21"/>
        </w:rPr>
        <w:t>.</w:t>
      </w:r>
      <w:r w:rsidR="00AE2206" w:rsidRPr="00CF477C">
        <w:rPr>
          <w:rFonts w:ascii="Times New Roman" w:hAnsi="Times New Roman" w:cs="Times New Roman"/>
          <w:sz w:val="20"/>
          <w:szCs w:val="21"/>
        </w:rPr>
        <w:t xml:space="preserve"> </w:t>
      </w:r>
      <w:r w:rsidR="006513E4" w:rsidRPr="006513E4">
        <w:rPr>
          <w:rFonts w:ascii="Times New Roman" w:hAnsi="Times New Roman" w:cs="Times New Roman"/>
          <w:sz w:val="20"/>
          <w:szCs w:val="21"/>
        </w:rPr>
        <w:t>Summary statistics for 45 SNPs used to estimate the causal effect of SUA on gastric cancer in East Asian population</w:t>
      </w:r>
      <w:r w:rsidR="00EA7C9C">
        <w:rPr>
          <w:rFonts w:ascii="Times New Roman" w:hAnsi="Times New Roman" w:cs="Times New Roman" w:hint="eastAsia"/>
          <w:sz w:val="20"/>
          <w:szCs w:val="21"/>
          <w:lang w:eastAsia="zh-CN"/>
        </w:rPr>
        <w:t>.</w:t>
      </w:r>
    </w:p>
    <w:sectPr w:rsidR="0018386E" w:rsidRPr="00C7667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C23B42" w14:textId="77777777" w:rsidR="00664FCE" w:rsidRDefault="00664FCE" w:rsidP="00113EFD">
      <w:pPr>
        <w:spacing w:after="0" w:line="240" w:lineRule="auto"/>
      </w:pPr>
      <w:r>
        <w:separator/>
      </w:r>
    </w:p>
  </w:endnote>
  <w:endnote w:type="continuationSeparator" w:id="0">
    <w:p w14:paraId="1928322B" w14:textId="77777777" w:rsidR="00664FCE" w:rsidRDefault="00664FCE" w:rsidP="00113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3A0FD2" w14:textId="77777777" w:rsidR="00664FCE" w:rsidRDefault="00664FCE" w:rsidP="00113EFD">
      <w:pPr>
        <w:spacing w:after="0" w:line="240" w:lineRule="auto"/>
      </w:pPr>
      <w:r>
        <w:separator/>
      </w:r>
    </w:p>
  </w:footnote>
  <w:footnote w:type="continuationSeparator" w:id="0">
    <w:p w14:paraId="741D6A62" w14:textId="77777777" w:rsidR="00664FCE" w:rsidRDefault="00664FCE" w:rsidP="00113E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206"/>
    <w:rsid w:val="000229AE"/>
    <w:rsid w:val="000A04CC"/>
    <w:rsid w:val="000D4BCB"/>
    <w:rsid w:val="000E3623"/>
    <w:rsid w:val="000F315E"/>
    <w:rsid w:val="00113EFD"/>
    <w:rsid w:val="00125C39"/>
    <w:rsid w:val="00135A03"/>
    <w:rsid w:val="00177716"/>
    <w:rsid w:val="0018386E"/>
    <w:rsid w:val="00306536"/>
    <w:rsid w:val="00372F82"/>
    <w:rsid w:val="003F5845"/>
    <w:rsid w:val="00410640"/>
    <w:rsid w:val="004241A5"/>
    <w:rsid w:val="004B5083"/>
    <w:rsid w:val="00587E0F"/>
    <w:rsid w:val="005F3A9F"/>
    <w:rsid w:val="00620703"/>
    <w:rsid w:val="006233BB"/>
    <w:rsid w:val="00637D36"/>
    <w:rsid w:val="006513E4"/>
    <w:rsid w:val="00664FCE"/>
    <w:rsid w:val="006B6513"/>
    <w:rsid w:val="006E3975"/>
    <w:rsid w:val="006F7B9A"/>
    <w:rsid w:val="007C5613"/>
    <w:rsid w:val="00814B3C"/>
    <w:rsid w:val="00854368"/>
    <w:rsid w:val="0088316F"/>
    <w:rsid w:val="0088662C"/>
    <w:rsid w:val="008879E5"/>
    <w:rsid w:val="00892E47"/>
    <w:rsid w:val="00953BDD"/>
    <w:rsid w:val="009F6BA6"/>
    <w:rsid w:val="00A54F4B"/>
    <w:rsid w:val="00A81EB4"/>
    <w:rsid w:val="00A84DFF"/>
    <w:rsid w:val="00AE2206"/>
    <w:rsid w:val="00B259DD"/>
    <w:rsid w:val="00B67638"/>
    <w:rsid w:val="00C25664"/>
    <w:rsid w:val="00C40A74"/>
    <w:rsid w:val="00C450B4"/>
    <w:rsid w:val="00C76677"/>
    <w:rsid w:val="00C91A45"/>
    <w:rsid w:val="00CB24F7"/>
    <w:rsid w:val="00CC2961"/>
    <w:rsid w:val="00D008E1"/>
    <w:rsid w:val="00D043B6"/>
    <w:rsid w:val="00D325CF"/>
    <w:rsid w:val="00D4049D"/>
    <w:rsid w:val="00D66F61"/>
    <w:rsid w:val="00E21F58"/>
    <w:rsid w:val="00E22734"/>
    <w:rsid w:val="00EA7C9C"/>
    <w:rsid w:val="00F059E0"/>
    <w:rsid w:val="00F234FE"/>
    <w:rsid w:val="00F42C1A"/>
    <w:rsid w:val="00F9259E"/>
    <w:rsid w:val="00FE3A9A"/>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EBEA3"/>
  <w15:chartTrackingRefBased/>
  <w15:docId w15:val="{10EED169-91EB-4A35-8B6F-11B43B9C6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3EFD"/>
    <w:pP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113EFD"/>
    <w:rPr>
      <w:sz w:val="18"/>
      <w:szCs w:val="18"/>
    </w:rPr>
  </w:style>
  <w:style w:type="paragraph" w:styleId="a5">
    <w:name w:val="footer"/>
    <w:basedOn w:val="a"/>
    <w:link w:val="a6"/>
    <w:uiPriority w:val="99"/>
    <w:unhideWhenUsed/>
    <w:rsid w:val="00113EFD"/>
    <w:pPr>
      <w:tabs>
        <w:tab w:val="center" w:pos="4153"/>
        <w:tab w:val="right" w:pos="8306"/>
      </w:tabs>
      <w:snapToGrid w:val="0"/>
      <w:spacing w:line="240" w:lineRule="auto"/>
    </w:pPr>
    <w:rPr>
      <w:sz w:val="18"/>
      <w:szCs w:val="18"/>
    </w:rPr>
  </w:style>
  <w:style w:type="character" w:customStyle="1" w:styleId="a6">
    <w:name w:val="页脚 字符"/>
    <w:basedOn w:val="a0"/>
    <w:link w:val="a5"/>
    <w:uiPriority w:val="99"/>
    <w:rsid w:val="00113EF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589</Words>
  <Characters>3359</Characters>
  <Application>Microsoft Office Word</Application>
  <DocSecurity>0</DocSecurity>
  <Lines>27</Lines>
  <Paragraphs>7</Paragraphs>
  <ScaleCrop>false</ScaleCrop>
  <Company>HP Inc.</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Meenakshi P.</dc:creator>
  <cp:keywords/>
  <dc:description/>
  <cp:lastModifiedBy>纳 丁</cp:lastModifiedBy>
  <cp:revision>33</cp:revision>
  <dcterms:created xsi:type="dcterms:W3CDTF">2024-02-17T10:33:00Z</dcterms:created>
  <dcterms:modified xsi:type="dcterms:W3CDTF">2024-10-06T09:13:00Z</dcterms:modified>
</cp:coreProperties>
</file>