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FCBC" w14:textId="77777777" w:rsidR="0032228E" w:rsidRDefault="0032228E" w:rsidP="0032228E">
      <w:pPr>
        <w:spacing w:line="480" w:lineRule="auto"/>
        <w:jc w:val="both"/>
        <w:rPr>
          <w:rFonts w:asciiTheme="majorBidi" w:eastAsia="Cambria" w:hAnsiTheme="majorBidi" w:cstheme="majorBidi"/>
          <w:sz w:val="24"/>
          <w:szCs w:val="24"/>
        </w:rPr>
      </w:pPr>
      <w:r w:rsidRPr="003E091A">
        <w:rPr>
          <w:rFonts w:ascii="Times New Roman" w:hAnsi="Times New Roman" w:cs="Times New Roman"/>
          <w:b/>
          <w:bCs/>
          <w:sz w:val="24"/>
          <w:szCs w:val="24"/>
        </w:rPr>
        <w:t>Supplemental Table 1</w:t>
      </w:r>
      <w:r w:rsidRPr="003E091A">
        <w:rPr>
          <w:rFonts w:ascii="Times New Roman" w:hAnsi="Times New Roman" w:cs="Times New Roman"/>
          <w:sz w:val="24"/>
          <w:szCs w:val="24"/>
        </w:rPr>
        <w:t>: Reference range for lipids profile based on 2011 AAP guideline*</w:t>
      </w:r>
    </w:p>
    <w:tbl>
      <w:tblPr>
        <w:tblStyle w:val="PlainTable51"/>
        <w:tblW w:w="9360" w:type="dxa"/>
        <w:tblLook w:val="0600" w:firstRow="0" w:lastRow="0" w:firstColumn="0" w:lastColumn="0" w:noHBand="1" w:noVBand="1"/>
      </w:tblPr>
      <w:tblGrid>
        <w:gridCol w:w="2790"/>
        <w:gridCol w:w="1080"/>
        <w:gridCol w:w="2046"/>
        <w:gridCol w:w="2227"/>
        <w:gridCol w:w="1217"/>
      </w:tblGrid>
      <w:tr w:rsidR="0032228E" w:rsidRPr="00526970" w14:paraId="7AA7E4EE" w14:textId="77777777" w:rsidTr="00AD3F56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A901D" w14:textId="77777777" w:rsidR="0032228E" w:rsidRPr="00526970" w:rsidRDefault="0032228E" w:rsidP="00AD3F5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777DE0" w14:textId="77777777" w:rsidR="0032228E" w:rsidRPr="00526970" w:rsidRDefault="0032228E" w:rsidP="00AD3F5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Low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4F64F" w14:textId="77777777" w:rsidR="0032228E" w:rsidRPr="00526970" w:rsidRDefault="0032228E" w:rsidP="00AD3F5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Acceptable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9F8D0" w14:textId="77777777" w:rsidR="0032228E" w:rsidRPr="00526970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Borderline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9AFB4F" w14:textId="77777777" w:rsidR="0032228E" w:rsidRPr="00526970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High</w:t>
            </w:r>
          </w:p>
        </w:tc>
      </w:tr>
      <w:tr w:rsidR="0032228E" w:rsidRPr="00526970" w14:paraId="51A1B695" w14:textId="77777777" w:rsidTr="00AD3F56"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14:paraId="1606797F" w14:textId="77777777" w:rsidR="0032228E" w:rsidRPr="003E091A" w:rsidRDefault="0032228E" w:rsidP="00AD3F5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Triglycerides (mg/dL)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116FBA82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</w:tcBorders>
            <w:shd w:val="clear" w:color="auto" w:fill="auto"/>
          </w:tcPr>
          <w:p w14:paraId="0652B7A4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</w:tcBorders>
            <w:shd w:val="clear" w:color="auto" w:fill="auto"/>
          </w:tcPr>
          <w:p w14:paraId="2E5BBAB6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</w:tcPr>
          <w:p w14:paraId="1016B16F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28E" w:rsidRPr="00526970" w14:paraId="56C9A70A" w14:textId="77777777" w:rsidTr="00AD3F56">
        <w:tc>
          <w:tcPr>
            <w:tcW w:w="2790" w:type="dxa"/>
            <w:shd w:val="clear" w:color="auto" w:fill="auto"/>
          </w:tcPr>
          <w:p w14:paraId="43E64201" w14:textId="77777777" w:rsidR="0032228E" w:rsidRPr="003E091A" w:rsidRDefault="0032228E" w:rsidP="00AD3F5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7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0–9 years</w:t>
            </w:r>
            <w:r w:rsidRPr="00526970">
              <w:rPr>
                <w:rFonts w:ascii="Times New Roman" w:hAnsi="Times New Roman" w:cs="Times New Roman"/>
                <w:sz w:val="24"/>
                <w:szCs w:val="24"/>
              </w:rPr>
              <w:t xml:space="preserve"> old</w:t>
            </w:r>
          </w:p>
        </w:tc>
        <w:tc>
          <w:tcPr>
            <w:tcW w:w="1080" w:type="dxa"/>
            <w:shd w:val="clear" w:color="auto" w:fill="auto"/>
          </w:tcPr>
          <w:p w14:paraId="737EEBF7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46" w:type="dxa"/>
            <w:shd w:val="clear" w:color="auto" w:fill="auto"/>
          </w:tcPr>
          <w:p w14:paraId="672F4722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&lt;75</w:t>
            </w:r>
          </w:p>
        </w:tc>
        <w:tc>
          <w:tcPr>
            <w:tcW w:w="2227" w:type="dxa"/>
            <w:shd w:val="clear" w:color="auto" w:fill="auto"/>
          </w:tcPr>
          <w:p w14:paraId="1BC8CC7A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75–99</w:t>
            </w:r>
          </w:p>
        </w:tc>
        <w:tc>
          <w:tcPr>
            <w:tcW w:w="1217" w:type="dxa"/>
            <w:shd w:val="clear" w:color="auto" w:fill="auto"/>
          </w:tcPr>
          <w:p w14:paraId="01593818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≥100</w:t>
            </w:r>
          </w:p>
        </w:tc>
      </w:tr>
      <w:tr w:rsidR="0032228E" w:rsidRPr="00526970" w14:paraId="5C1BEE74" w14:textId="77777777" w:rsidTr="00AD3F56">
        <w:tc>
          <w:tcPr>
            <w:tcW w:w="2790" w:type="dxa"/>
            <w:shd w:val="clear" w:color="auto" w:fill="auto"/>
          </w:tcPr>
          <w:p w14:paraId="111A1EED" w14:textId="77777777" w:rsidR="0032228E" w:rsidRPr="003E091A" w:rsidRDefault="0032228E" w:rsidP="00AD3F5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 xml:space="preserve">     10–19 years</w:t>
            </w:r>
            <w:r w:rsidRPr="00526970">
              <w:rPr>
                <w:rFonts w:ascii="Times New Roman" w:hAnsi="Times New Roman" w:cs="Times New Roman"/>
                <w:sz w:val="24"/>
                <w:szCs w:val="24"/>
              </w:rPr>
              <w:t xml:space="preserve"> old</w:t>
            </w:r>
          </w:p>
        </w:tc>
        <w:tc>
          <w:tcPr>
            <w:tcW w:w="1080" w:type="dxa"/>
            <w:shd w:val="clear" w:color="auto" w:fill="auto"/>
          </w:tcPr>
          <w:p w14:paraId="32212571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46" w:type="dxa"/>
            <w:shd w:val="clear" w:color="auto" w:fill="auto"/>
          </w:tcPr>
          <w:p w14:paraId="3CA6347F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&lt;90</w:t>
            </w:r>
          </w:p>
        </w:tc>
        <w:tc>
          <w:tcPr>
            <w:tcW w:w="2227" w:type="dxa"/>
            <w:shd w:val="clear" w:color="auto" w:fill="auto"/>
          </w:tcPr>
          <w:p w14:paraId="4F38BAD0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90–129</w:t>
            </w:r>
          </w:p>
        </w:tc>
        <w:tc>
          <w:tcPr>
            <w:tcW w:w="1217" w:type="dxa"/>
            <w:shd w:val="clear" w:color="auto" w:fill="auto"/>
          </w:tcPr>
          <w:p w14:paraId="4E638CC3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≥130</w:t>
            </w:r>
          </w:p>
        </w:tc>
      </w:tr>
      <w:tr w:rsidR="0032228E" w:rsidRPr="00526970" w14:paraId="01E8E0AB" w14:textId="77777777" w:rsidTr="00AD3F56">
        <w:tc>
          <w:tcPr>
            <w:tcW w:w="2790" w:type="dxa"/>
            <w:shd w:val="clear" w:color="auto" w:fill="auto"/>
          </w:tcPr>
          <w:p w14:paraId="3697BB46" w14:textId="77777777" w:rsidR="0032228E" w:rsidRPr="003E091A" w:rsidRDefault="0032228E" w:rsidP="00AD3F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Total cholesterol (mg/dL)</w:t>
            </w:r>
          </w:p>
        </w:tc>
        <w:tc>
          <w:tcPr>
            <w:tcW w:w="1080" w:type="dxa"/>
            <w:shd w:val="clear" w:color="auto" w:fill="auto"/>
          </w:tcPr>
          <w:p w14:paraId="75F82BD1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46" w:type="dxa"/>
            <w:shd w:val="clear" w:color="auto" w:fill="auto"/>
          </w:tcPr>
          <w:p w14:paraId="4CB5E464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&lt;170</w:t>
            </w:r>
          </w:p>
        </w:tc>
        <w:tc>
          <w:tcPr>
            <w:tcW w:w="2227" w:type="dxa"/>
            <w:shd w:val="clear" w:color="auto" w:fill="auto"/>
          </w:tcPr>
          <w:p w14:paraId="7907A6B8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170–199</w:t>
            </w:r>
          </w:p>
        </w:tc>
        <w:tc>
          <w:tcPr>
            <w:tcW w:w="1217" w:type="dxa"/>
            <w:shd w:val="clear" w:color="auto" w:fill="auto"/>
          </w:tcPr>
          <w:p w14:paraId="3593CB3E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≥200</w:t>
            </w:r>
          </w:p>
        </w:tc>
      </w:tr>
      <w:tr w:rsidR="0032228E" w:rsidRPr="00526970" w14:paraId="7536F503" w14:textId="77777777" w:rsidTr="00AD3F56">
        <w:tc>
          <w:tcPr>
            <w:tcW w:w="2790" w:type="dxa"/>
            <w:shd w:val="clear" w:color="auto" w:fill="auto"/>
          </w:tcPr>
          <w:p w14:paraId="5DFFBD1C" w14:textId="77777777" w:rsidR="0032228E" w:rsidRPr="003E091A" w:rsidRDefault="0032228E" w:rsidP="00AD3F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LDL cholesterol (mg/dL)</w:t>
            </w:r>
          </w:p>
        </w:tc>
        <w:tc>
          <w:tcPr>
            <w:tcW w:w="1080" w:type="dxa"/>
            <w:shd w:val="clear" w:color="auto" w:fill="auto"/>
          </w:tcPr>
          <w:p w14:paraId="3706D5D5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46" w:type="dxa"/>
            <w:shd w:val="clear" w:color="auto" w:fill="auto"/>
          </w:tcPr>
          <w:p w14:paraId="1C46241F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&lt;110</w:t>
            </w:r>
          </w:p>
        </w:tc>
        <w:tc>
          <w:tcPr>
            <w:tcW w:w="2227" w:type="dxa"/>
            <w:shd w:val="clear" w:color="auto" w:fill="auto"/>
          </w:tcPr>
          <w:p w14:paraId="49E487A3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110–129</w:t>
            </w:r>
          </w:p>
        </w:tc>
        <w:tc>
          <w:tcPr>
            <w:tcW w:w="1217" w:type="dxa"/>
            <w:shd w:val="clear" w:color="auto" w:fill="auto"/>
          </w:tcPr>
          <w:p w14:paraId="5F3451E7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≥130</w:t>
            </w:r>
          </w:p>
        </w:tc>
      </w:tr>
      <w:tr w:rsidR="0032228E" w:rsidRPr="00526970" w14:paraId="041197F4" w14:textId="77777777" w:rsidTr="00AD3F56"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14:paraId="58627C15" w14:textId="77777777" w:rsidR="0032228E" w:rsidRPr="003E091A" w:rsidRDefault="0032228E" w:rsidP="00AD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HDL cholesterol</w:t>
            </w:r>
            <w:r w:rsidRPr="00526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(mg/dL)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553F258B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&lt;40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shd w:val="clear" w:color="auto" w:fill="auto"/>
          </w:tcPr>
          <w:p w14:paraId="72901F42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&gt;45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auto"/>
          </w:tcPr>
          <w:p w14:paraId="1E0C180C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40–45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</w:tcPr>
          <w:p w14:paraId="51033B95" w14:textId="77777777" w:rsidR="0032228E" w:rsidRPr="003E091A" w:rsidRDefault="0032228E" w:rsidP="00AD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1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14:paraId="31FF106E" w14:textId="77777777" w:rsidR="0032228E" w:rsidRPr="003E091A" w:rsidRDefault="0032228E" w:rsidP="0032228E">
      <w:pPr>
        <w:rPr>
          <w:rFonts w:ascii="Times New Roman" w:hAnsi="Times New Roman" w:cs="Times New Roman"/>
          <w:sz w:val="24"/>
          <w:szCs w:val="24"/>
        </w:rPr>
      </w:pPr>
      <w:r w:rsidRPr="003E091A">
        <w:rPr>
          <w:rFonts w:ascii="Times New Roman" w:hAnsi="Times New Roman" w:cs="Times New Roman"/>
          <w:sz w:val="24"/>
          <w:szCs w:val="24"/>
        </w:rPr>
        <w:t>*adopted from Expert Panel on Integrated Guidelines for Cardiovascular Health and Risk Reduction in Children and Adolescents; National Heart, Lung, and Blood Institute. Expert panel on integrated guidelines for cardiovascular health and risk reduction in children and adolescents: summary report. Pediatrics. 2011 Dec;128 Suppl 5(Suppl 5):S213-56.</w:t>
      </w:r>
    </w:p>
    <w:p w14:paraId="41A6D391" w14:textId="77777777" w:rsidR="000E4177" w:rsidRDefault="000E4177"/>
    <w:sectPr w:rsidR="000E4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8E"/>
    <w:rsid w:val="000E4177"/>
    <w:rsid w:val="0032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25E9C"/>
  <w15:chartTrackingRefBased/>
  <w15:docId w15:val="{B96C9965-D609-466B-AEB0-A6A3020E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28E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">
    <w:name w:val="Plain Table 51"/>
    <w:basedOn w:val="TableNormal"/>
    <w:uiPriority w:val="45"/>
    <w:rsid w:val="0032228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>Ann &amp; Robert H. Lurie Children’s Hospital of Chicago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Gabrielle A.</dc:creator>
  <cp:keywords/>
  <dc:description/>
  <cp:lastModifiedBy>Morgan, Gabrielle A.</cp:lastModifiedBy>
  <cp:revision>1</cp:revision>
  <dcterms:created xsi:type="dcterms:W3CDTF">2024-04-26T19:47:00Z</dcterms:created>
  <dcterms:modified xsi:type="dcterms:W3CDTF">2024-04-26T19:47:00Z</dcterms:modified>
</cp:coreProperties>
</file>