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both"/>
        <w:rPr/>
      </w:pPr>
      <w:r w:rsidDel="00000000" w:rsidR="00000000" w:rsidRPr="00000000">
        <w:rPr>
          <w:b w:val="1"/>
          <w:rtl w:val="0"/>
        </w:rPr>
        <w:t xml:space="preserve">Supplementary figure 1. </w:t>
      </w:r>
      <w:r w:rsidDel="00000000" w:rsidR="00000000" w:rsidRPr="00000000">
        <w:rPr>
          <w:rtl w:val="0"/>
        </w:rPr>
        <w:t xml:space="preserve">Cell measurements (tubulin, Ca</w:t>
      </w:r>
      <w:r w:rsidDel="00000000" w:rsidR="00000000" w:rsidRPr="00000000">
        <w:rPr>
          <w:vertAlign w:val="superscript"/>
          <w:rtl w:val="0"/>
        </w:rPr>
        <w:t xml:space="preserve">2+</w:t>
      </w:r>
      <w:r w:rsidDel="00000000" w:rsidR="00000000" w:rsidRPr="00000000">
        <w:rPr>
          <w:rtl w:val="0"/>
        </w:rPr>
        <w:t xml:space="preserve">, and β-actin) for the BT and sham-treatment control conditions. The grey lines represent the individual experiments. The red shaded area indicates the 95% confidence interval. The time between the vertical dotted line represents when the therapist was allowed to move freely. Values for each assay represent changes from the baseline obtained one minute before the initiation of treatment. The only significant difference between the control and treatment periods is for the Ca</w:t>
      </w:r>
      <w:r w:rsidDel="00000000" w:rsidR="00000000" w:rsidRPr="00000000">
        <w:rPr>
          <w:vertAlign w:val="superscript"/>
          <w:rtl w:val="0"/>
        </w:rPr>
        <w:t xml:space="preserve">2+</w:t>
      </w:r>
      <w:r w:rsidDel="00000000" w:rsidR="00000000" w:rsidRPr="00000000">
        <w:rPr>
          <w:rtl w:val="0"/>
        </w:rPr>
        <w:t xml:space="preserve"> measure, as indicated in the result section.</w:t>
      </w:r>
    </w:p>
    <w:p w:rsidR="00000000" w:rsidDel="00000000" w:rsidP="00000000" w:rsidRDefault="00000000" w:rsidRPr="00000000" w14:paraId="00000002">
      <w:pPr>
        <w:spacing w:line="240" w:lineRule="auto"/>
        <w:jc w:val="both"/>
        <w:rPr/>
      </w:pPr>
      <w:r w:rsidDel="00000000" w:rsidR="00000000" w:rsidRPr="00000000">
        <w:rPr>
          <w:rtl w:val="0"/>
        </w:rPr>
      </w:r>
    </w:p>
    <w:p w:rsidR="00000000" w:rsidDel="00000000" w:rsidP="00000000" w:rsidRDefault="00000000" w:rsidRPr="00000000" w14:paraId="00000003">
      <w:pPr>
        <w:spacing w:line="240" w:lineRule="auto"/>
        <w:jc w:val="both"/>
        <w:rPr/>
      </w:pPr>
      <w:r w:rsidDel="00000000" w:rsidR="00000000" w:rsidRPr="00000000">
        <w:rPr/>
        <w:drawing>
          <wp:inline distB="114300" distT="114300" distL="114300" distR="114300">
            <wp:extent cx="5281613" cy="669740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281613" cy="6697406"/>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