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8693E" w14:textId="77777777" w:rsidR="005976B7" w:rsidRPr="005976B7" w:rsidRDefault="005976B7" w:rsidP="005976B7"/>
    <w:p w14:paraId="1C664426" w14:textId="362C5AD8" w:rsidR="005976B7" w:rsidRDefault="005976B7" w:rsidP="005976B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A5DFD1" wp14:editId="60789A88">
            <wp:extent cx="5943600" cy="4049395"/>
            <wp:effectExtent l="0" t="0" r="0" b="8255"/>
            <wp:docPr id="1014333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333441" name="Picture 10143334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384D3" w14:textId="069BA71A" w:rsidR="009402AA" w:rsidRDefault="005976B7" w:rsidP="005976B7">
      <w:r w:rsidRPr="005976B7">
        <w:rPr>
          <w:b/>
          <w:bCs/>
        </w:rPr>
        <w:t xml:space="preserve">Figure S1. </w:t>
      </w:r>
      <w:r w:rsidRPr="005976B7">
        <w:t>The results of the DEGs in pathways in cancer. Compared to the control cells, the proteins labeled in the red box were associated with up-regulated genes, and the proteins labeled in the green box were associated with down-regulated genes. The proteins labeled in blue are associated with both up-regulated and down-regulated genes.</w:t>
      </w:r>
    </w:p>
    <w:sectPr w:rsidR="00940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B7"/>
    <w:rsid w:val="00273337"/>
    <w:rsid w:val="005976B7"/>
    <w:rsid w:val="009402AA"/>
    <w:rsid w:val="00B12EFD"/>
    <w:rsid w:val="00E1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3BE25F"/>
  <w14:defaultImageDpi w14:val="32767"/>
  <w15:chartTrackingRefBased/>
  <w15:docId w15:val="{804CEE32-AB1F-4971-AE71-0CC43FBC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6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296</Characters>
  <Application>Microsoft Office Word</Application>
  <DocSecurity>0</DocSecurity>
  <Lines>2</Lines>
  <Paragraphs>1</Paragraphs>
  <ScaleCrop>false</ScaleCrop>
  <Company>Springer Nature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2024-11-15T07:32:00Z</dcterms:created>
  <dcterms:modified xsi:type="dcterms:W3CDTF">2024-11-15T07:34:00Z</dcterms:modified>
</cp:coreProperties>
</file>