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2B04A" w14:textId="1D99EAAD" w:rsidR="000859E7" w:rsidRPr="000859E7" w:rsidRDefault="00E31F5A" w:rsidP="000859E7">
      <w:pPr>
        <w:spacing w:before="240" w:after="240"/>
        <w:jc w:val="both"/>
        <w:rPr>
          <w:b/>
          <w:color w:val="0D0D0D"/>
          <w:highlight w:val="white"/>
        </w:rPr>
      </w:pPr>
      <w:r w:rsidRPr="000859E7">
        <w:rPr>
          <w:b/>
        </w:rPr>
        <w:t>Supplementary information</w:t>
      </w:r>
      <w:r w:rsidR="000859E7" w:rsidRPr="000859E7">
        <w:rPr>
          <w:b/>
        </w:rPr>
        <w:t xml:space="preserve"> </w:t>
      </w:r>
      <w:r w:rsidR="000859E7" w:rsidRPr="000859E7">
        <w:rPr>
          <w:bCs/>
        </w:rPr>
        <w:t>for</w:t>
      </w:r>
      <w:r w:rsidR="000859E7">
        <w:rPr>
          <w:bCs/>
        </w:rPr>
        <w:t>:</w:t>
      </w:r>
      <w:r w:rsidR="000859E7" w:rsidRPr="000859E7">
        <w:rPr>
          <w:bCs/>
        </w:rPr>
        <w:t xml:space="preserve"> </w:t>
      </w:r>
      <w:r w:rsidR="000859E7" w:rsidRPr="000859E7">
        <w:rPr>
          <w:bCs/>
          <w:color w:val="0D0D0D"/>
          <w:highlight w:val="white"/>
        </w:rPr>
        <w:t>Integrating Gene Expression Analysis and Ecophysiological Responses to Water Deficit in Leaves of Tomato Plants</w:t>
      </w:r>
    </w:p>
    <w:p w14:paraId="639EBBD5" w14:textId="0CAB5800" w:rsidR="000859E7" w:rsidRPr="000859E7" w:rsidRDefault="000859E7" w:rsidP="000859E7">
      <w:pPr>
        <w:spacing w:before="240" w:after="240"/>
        <w:ind w:right="-40"/>
        <w:jc w:val="both"/>
        <w:rPr>
          <w:vertAlign w:val="superscript"/>
        </w:rPr>
      </w:pPr>
      <w:r w:rsidRPr="000859E7">
        <w:t>Bortolami G</w:t>
      </w:r>
      <w:r w:rsidR="003D5C0B">
        <w:t>iovanni</w:t>
      </w:r>
      <w:r w:rsidRPr="000859E7">
        <w:t>, de Werk T</w:t>
      </w:r>
      <w:r w:rsidR="003D5C0B">
        <w:t>obias</w:t>
      </w:r>
      <w:r w:rsidRPr="000859E7">
        <w:t xml:space="preserve">, Larter </w:t>
      </w:r>
      <w:r>
        <w:t>M</w:t>
      </w:r>
      <w:r w:rsidR="003D5C0B">
        <w:t>aximilien</w:t>
      </w:r>
      <w:r w:rsidRPr="000859E7">
        <w:t>, Th</w:t>
      </w:r>
      <w:proofErr w:type="spellStart"/>
      <w:r w:rsidRPr="000859E7">
        <w:t>onglim</w:t>
      </w:r>
      <w:proofErr w:type="spellEnd"/>
      <w:r w:rsidRPr="000859E7">
        <w:t xml:space="preserve"> A</w:t>
      </w:r>
      <w:r w:rsidR="003D5C0B">
        <w:t>jaree</w:t>
      </w:r>
      <w:r w:rsidRPr="000859E7">
        <w:t>, Mueller-Roeber B</w:t>
      </w:r>
      <w:r w:rsidR="003D5C0B">
        <w:t>ernd</w:t>
      </w:r>
      <w:r w:rsidRPr="000859E7">
        <w:t>, Balazadeh S</w:t>
      </w:r>
      <w:r w:rsidR="003D5C0B">
        <w:t>alma</w:t>
      </w:r>
      <w:r w:rsidRPr="000859E7">
        <w:t>, Lens F</w:t>
      </w:r>
      <w:r w:rsidR="003D5C0B">
        <w:t>rederic</w:t>
      </w:r>
    </w:p>
    <w:p w14:paraId="00000286" w14:textId="5B98C899" w:rsidR="002C03FB" w:rsidRPr="000859E7" w:rsidRDefault="002C03FB">
      <w:pPr>
        <w:jc w:val="both"/>
        <w:rPr>
          <w:bCs/>
        </w:rPr>
      </w:pPr>
    </w:p>
    <w:p w14:paraId="00000287" w14:textId="77777777" w:rsidR="002C03FB" w:rsidRPr="000859E7" w:rsidRDefault="002C03FB">
      <w:pPr>
        <w:jc w:val="both"/>
        <w:rPr>
          <w:b/>
        </w:rPr>
      </w:pPr>
    </w:p>
    <w:p w14:paraId="00000288" w14:textId="77777777" w:rsidR="002C03FB" w:rsidRPr="000859E7" w:rsidRDefault="002C03FB">
      <w:pPr>
        <w:jc w:val="both"/>
      </w:pPr>
    </w:p>
    <w:p w14:paraId="00000289" w14:textId="77777777" w:rsidR="002C03FB" w:rsidRPr="000859E7" w:rsidRDefault="00E31F5A">
      <w:pPr>
        <w:jc w:val="center"/>
      </w:pPr>
      <w:r w:rsidRPr="000859E7">
        <w:rPr>
          <w:noProof/>
        </w:rPr>
        <w:drawing>
          <wp:inline distT="114300" distB="114300" distL="114300" distR="114300" wp14:anchorId="21A0BA04" wp14:editId="2E0CF136">
            <wp:extent cx="5648325" cy="5924550"/>
            <wp:effectExtent l="0" t="0" r="0" b="0"/>
            <wp:docPr id="1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
                    <a:srcRect l="-995" t="1969" r="2490" b="2043"/>
                    <a:stretch>
                      <a:fillRect/>
                    </a:stretch>
                  </pic:blipFill>
                  <pic:spPr>
                    <a:xfrm>
                      <a:off x="0" y="0"/>
                      <a:ext cx="5648325" cy="5924550"/>
                    </a:xfrm>
                    <a:prstGeom prst="rect">
                      <a:avLst/>
                    </a:prstGeom>
                    <a:ln/>
                  </pic:spPr>
                </pic:pic>
              </a:graphicData>
            </a:graphic>
          </wp:inline>
        </w:drawing>
      </w:r>
    </w:p>
    <w:p w14:paraId="0000028A" w14:textId="77777777" w:rsidR="002C03FB" w:rsidRPr="000859E7" w:rsidRDefault="00E31F5A">
      <w:pPr>
        <w:jc w:val="both"/>
      </w:pPr>
      <w:r w:rsidRPr="000859E7">
        <w:rPr>
          <w:b/>
        </w:rPr>
        <w:t>Supplementary Figure S1</w:t>
      </w:r>
      <w:r w:rsidRPr="000859E7">
        <w:t xml:space="preserve">. </w:t>
      </w:r>
      <w:r w:rsidRPr="000859E7">
        <w:rPr>
          <w:b/>
        </w:rPr>
        <w:t>Visual change of plant morphology over increasing water deficit</w:t>
      </w:r>
      <w:r w:rsidRPr="000859E7">
        <w:t xml:space="preserve"> from (</w:t>
      </w:r>
      <w:r w:rsidRPr="000859E7">
        <w:rPr>
          <w:b/>
        </w:rPr>
        <w:t>A</w:t>
      </w:r>
      <w:r w:rsidRPr="000859E7">
        <w:t>) well-watered plants to plants (</w:t>
      </w:r>
      <w:r w:rsidRPr="000859E7">
        <w:rPr>
          <w:b/>
        </w:rPr>
        <w:t>E</w:t>
      </w:r>
      <w:r w:rsidRPr="000859E7">
        <w:t>) 10 days after the start of the water deficit (d-WD</w:t>
      </w:r>
      <w:r w:rsidRPr="000859E7">
        <w:rPr>
          <w:i/>
        </w:rPr>
        <w:t>)</w:t>
      </w:r>
      <w:r w:rsidRPr="000859E7">
        <w:t xml:space="preserve">. </w:t>
      </w:r>
      <w:r w:rsidRPr="000859E7">
        <w:rPr>
          <w:b/>
        </w:rPr>
        <w:t>F</w:t>
      </w:r>
      <w:r w:rsidRPr="000859E7">
        <w:t xml:space="preserve">) Detail of sampled single mature compound leaf (bottom) and three younger leaves from the same individual (top) at 10d-WD. (A-E) Scale bars=50 cm, (F) Scale bar=25cm. </w:t>
      </w:r>
    </w:p>
    <w:p w14:paraId="0000028B" w14:textId="77777777" w:rsidR="002C03FB" w:rsidRPr="000859E7" w:rsidRDefault="002C03FB">
      <w:pPr>
        <w:jc w:val="both"/>
      </w:pPr>
    </w:p>
    <w:p w14:paraId="0000028C" w14:textId="77777777" w:rsidR="002C03FB" w:rsidRPr="000859E7" w:rsidRDefault="00E31F5A">
      <w:pPr>
        <w:jc w:val="center"/>
      </w:pPr>
      <w:r w:rsidRPr="000859E7">
        <w:rPr>
          <w:noProof/>
        </w:rPr>
        <w:lastRenderedPageBreak/>
        <w:drawing>
          <wp:inline distT="114300" distB="114300" distL="114300" distR="114300" wp14:anchorId="418E8294" wp14:editId="13343911">
            <wp:extent cx="3007829" cy="4767263"/>
            <wp:effectExtent l="0" t="0" r="0" b="0"/>
            <wp:docPr id="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
                    <a:srcRect/>
                    <a:stretch>
                      <a:fillRect/>
                    </a:stretch>
                  </pic:blipFill>
                  <pic:spPr>
                    <a:xfrm>
                      <a:off x="0" y="0"/>
                      <a:ext cx="3007829" cy="4767263"/>
                    </a:xfrm>
                    <a:prstGeom prst="rect">
                      <a:avLst/>
                    </a:prstGeom>
                    <a:ln/>
                  </pic:spPr>
                </pic:pic>
              </a:graphicData>
            </a:graphic>
          </wp:inline>
        </w:drawing>
      </w:r>
    </w:p>
    <w:p w14:paraId="0000028D" w14:textId="77777777" w:rsidR="002C03FB" w:rsidRPr="000859E7" w:rsidRDefault="00E31F5A">
      <w:pPr>
        <w:jc w:val="both"/>
        <w:rPr>
          <w:b/>
        </w:rPr>
      </w:pPr>
      <w:r w:rsidRPr="000859E7">
        <w:rPr>
          <w:b/>
        </w:rPr>
        <w:t>Supplementary Figure S2</w:t>
      </w:r>
      <w:r w:rsidRPr="000859E7">
        <w:t>.</w:t>
      </w:r>
      <w:r w:rsidRPr="000859E7">
        <w:rPr>
          <w:b/>
        </w:rPr>
        <w:t xml:space="preserve"> A compound leaf from the 6-8th node, showing leaflets selected for gas exchange, stomatal size, RNA-</w:t>
      </w:r>
      <w:proofErr w:type="spellStart"/>
      <w:r w:rsidRPr="000859E7">
        <w:rPr>
          <w:b/>
        </w:rPr>
        <w:t>Seq</w:t>
      </w:r>
      <w:proofErr w:type="spellEnd"/>
      <w:r w:rsidRPr="000859E7">
        <w:rPr>
          <w:b/>
        </w:rPr>
        <w:t>, leaf PEP, Ψ</w:t>
      </w:r>
      <w:r w:rsidRPr="000859E7">
        <w:rPr>
          <w:b/>
          <w:vertAlign w:val="subscript"/>
        </w:rPr>
        <w:t>TLP,</w:t>
      </w:r>
      <w:r w:rsidRPr="000859E7">
        <w:rPr>
          <w:b/>
        </w:rPr>
        <w:t xml:space="preserve"> and water potential analyses.</w:t>
      </w:r>
    </w:p>
    <w:p w14:paraId="0000028E" w14:textId="77777777" w:rsidR="002C03FB" w:rsidRPr="000859E7" w:rsidRDefault="002C03FB">
      <w:pPr>
        <w:jc w:val="both"/>
        <w:rPr>
          <w:b/>
        </w:rPr>
      </w:pPr>
    </w:p>
    <w:p w14:paraId="0000028F" w14:textId="77777777" w:rsidR="002C03FB" w:rsidRPr="000859E7" w:rsidRDefault="00E31F5A">
      <w:pPr>
        <w:jc w:val="center"/>
        <w:rPr>
          <w:b/>
        </w:rPr>
      </w:pPr>
      <w:r w:rsidRPr="000859E7">
        <w:rPr>
          <w:b/>
          <w:noProof/>
        </w:rPr>
        <w:lastRenderedPageBreak/>
        <w:drawing>
          <wp:inline distT="114300" distB="114300" distL="114300" distR="114300" wp14:anchorId="557DF7B9" wp14:editId="5C955709">
            <wp:extent cx="4142678" cy="3538538"/>
            <wp:effectExtent l="0" t="0" r="0" b="0"/>
            <wp:docPr id="1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4142678" cy="3538538"/>
                    </a:xfrm>
                    <a:prstGeom prst="rect">
                      <a:avLst/>
                    </a:prstGeom>
                    <a:ln/>
                  </pic:spPr>
                </pic:pic>
              </a:graphicData>
            </a:graphic>
          </wp:inline>
        </w:drawing>
      </w:r>
    </w:p>
    <w:p w14:paraId="00000290" w14:textId="77777777" w:rsidR="002C03FB" w:rsidRPr="000859E7" w:rsidRDefault="002C03FB">
      <w:pPr>
        <w:jc w:val="both"/>
        <w:rPr>
          <w:b/>
        </w:rPr>
      </w:pPr>
    </w:p>
    <w:p w14:paraId="00000291" w14:textId="77777777" w:rsidR="002C03FB" w:rsidRPr="000859E7" w:rsidRDefault="00E31F5A">
      <w:pPr>
        <w:jc w:val="both"/>
        <w:rPr>
          <w:b/>
        </w:rPr>
      </w:pPr>
      <w:r w:rsidRPr="000859E7">
        <w:rPr>
          <w:b/>
        </w:rPr>
        <w:t>Supplementary Figure S3</w:t>
      </w:r>
      <w:r w:rsidRPr="000859E7">
        <w:t xml:space="preserve">: </w:t>
      </w:r>
      <w:r w:rsidRPr="000859E7">
        <w:rPr>
          <w:b/>
        </w:rPr>
        <w:t xml:space="preserve">Clustering accuracy as viewed on the first three principal components. </w:t>
      </w:r>
      <w:r w:rsidRPr="000859E7">
        <w:t xml:space="preserve">Genes (dots) are </w:t>
      </w:r>
      <w:proofErr w:type="spellStart"/>
      <w:r w:rsidRPr="000859E7">
        <w:t>colored</w:t>
      </w:r>
      <w:proofErr w:type="spellEnd"/>
      <w:r w:rsidRPr="000859E7">
        <w:t xml:space="preserve"> according to cluster assignments. The explained variance of each principal component is given in brackets.</w:t>
      </w:r>
    </w:p>
    <w:p w14:paraId="00000292" w14:textId="77777777" w:rsidR="002C03FB" w:rsidRPr="000859E7" w:rsidRDefault="00E31F5A">
      <w:pPr>
        <w:jc w:val="both"/>
        <w:rPr>
          <w:b/>
        </w:rPr>
      </w:pPr>
      <w:r w:rsidRPr="000859E7">
        <w:rPr>
          <w:b/>
          <w:noProof/>
        </w:rPr>
        <w:drawing>
          <wp:inline distT="114300" distB="114300" distL="114300" distR="114300" wp14:anchorId="6838E483" wp14:editId="69A3532C">
            <wp:extent cx="5731200" cy="2870200"/>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b="64552"/>
                    <a:stretch>
                      <a:fillRect/>
                    </a:stretch>
                  </pic:blipFill>
                  <pic:spPr>
                    <a:xfrm>
                      <a:off x="0" y="0"/>
                      <a:ext cx="5731200" cy="2870200"/>
                    </a:xfrm>
                    <a:prstGeom prst="rect">
                      <a:avLst/>
                    </a:prstGeom>
                    <a:ln/>
                  </pic:spPr>
                </pic:pic>
              </a:graphicData>
            </a:graphic>
          </wp:inline>
        </w:drawing>
      </w:r>
    </w:p>
    <w:p w14:paraId="00000293" w14:textId="77777777" w:rsidR="002C03FB" w:rsidRPr="000859E7" w:rsidRDefault="002C03FB">
      <w:pPr>
        <w:jc w:val="both"/>
        <w:rPr>
          <w:b/>
        </w:rPr>
      </w:pPr>
    </w:p>
    <w:p w14:paraId="00000294" w14:textId="77777777" w:rsidR="002C03FB" w:rsidRPr="000859E7" w:rsidRDefault="00E31F5A">
      <w:pPr>
        <w:jc w:val="both"/>
        <w:rPr>
          <w:b/>
        </w:rPr>
      </w:pPr>
      <w:r w:rsidRPr="000859E7">
        <w:rPr>
          <w:b/>
        </w:rPr>
        <w:t>Supplementary Figure S4</w:t>
      </w:r>
      <w:r w:rsidRPr="000859E7">
        <w:t xml:space="preserve">. </w:t>
      </w:r>
      <w:r w:rsidRPr="000859E7">
        <w:rPr>
          <w:b/>
        </w:rPr>
        <w:t>Scale-free topology model fit and mean connectivity for different soft threshold powers</w:t>
      </w:r>
      <w:r w:rsidRPr="000859E7">
        <w:t xml:space="preserve">. The left panel denotes the scale-free topology model fit (y-axis) as a function of </w:t>
      </w:r>
      <w:r w:rsidRPr="000859E7">
        <w:t>various soft threshold powers (x-axis), with the aim of selecting a power that ensures the network adheres to a scale-free topology. The right panel shows the mean connectivity (y-axis) across the same range of soft threshold powers (x-axis). A soft-thresholding power of 20 was chosen as a trade-off between the two, achieving a scale-free fit while maintaining connectivity within the network.</w:t>
      </w:r>
    </w:p>
    <w:p w14:paraId="00000295" w14:textId="77777777" w:rsidR="002C03FB" w:rsidRPr="000859E7" w:rsidRDefault="002C03FB">
      <w:pPr>
        <w:jc w:val="both"/>
        <w:rPr>
          <w:b/>
        </w:rPr>
      </w:pPr>
    </w:p>
    <w:p w14:paraId="00000296" w14:textId="77777777" w:rsidR="002C03FB" w:rsidRPr="000859E7" w:rsidRDefault="002C03FB">
      <w:pPr>
        <w:jc w:val="both"/>
        <w:rPr>
          <w:b/>
        </w:rPr>
      </w:pPr>
    </w:p>
    <w:p w14:paraId="00000297" w14:textId="77777777" w:rsidR="002C03FB" w:rsidRPr="000859E7" w:rsidRDefault="002C03FB">
      <w:pPr>
        <w:jc w:val="both"/>
        <w:rPr>
          <w:b/>
        </w:rPr>
      </w:pPr>
    </w:p>
    <w:p w14:paraId="00000298" w14:textId="0FA90018" w:rsidR="002C03FB" w:rsidRPr="000859E7" w:rsidRDefault="000859E7">
      <w:pPr>
        <w:jc w:val="both"/>
        <w:rPr>
          <w:color w:val="999999"/>
        </w:rPr>
      </w:pPr>
      <w:r>
        <w:rPr>
          <w:noProof/>
          <w:color w:val="999999"/>
        </w:rPr>
        <w:drawing>
          <wp:inline distT="0" distB="0" distL="0" distR="0" wp14:anchorId="3CE7EADE" wp14:editId="2B7D3F6B">
            <wp:extent cx="5727700" cy="2425700"/>
            <wp:effectExtent l="0" t="0" r="6350" b="0"/>
            <wp:docPr id="11134670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7700" cy="2425700"/>
                    </a:xfrm>
                    <a:prstGeom prst="rect">
                      <a:avLst/>
                    </a:prstGeom>
                    <a:noFill/>
                    <a:ln>
                      <a:noFill/>
                    </a:ln>
                  </pic:spPr>
                </pic:pic>
              </a:graphicData>
            </a:graphic>
          </wp:inline>
        </w:drawing>
      </w:r>
    </w:p>
    <w:p w14:paraId="00000299" w14:textId="2AFE9E8A" w:rsidR="002C03FB" w:rsidRPr="000859E7" w:rsidRDefault="00E31F5A">
      <w:pPr>
        <w:jc w:val="both"/>
        <w:rPr>
          <w:b/>
        </w:rPr>
      </w:pPr>
      <w:r w:rsidRPr="000859E7">
        <w:rPr>
          <w:b/>
        </w:rPr>
        <w:t>Supplementa</w:t>
      </w:r>
      <w:r w:rsidR="00CE05EC">
        <w:rPr>
          <w:b/>
        </w:rPr>
        <w:t>ry</w:t>
      </w:r>
      <w:r w:rsidRPr="000859E7">
        <w:rPr>
          <w:b/>
        </w:rPr>
        <w:t xml:space="preserve"> Figure S5: Venn diagram of up- and downregulated genes per time point. </w:t>
      </w:r>
      <w:r w:rsidRPr="000859E7">
        <w:t>The numbers of genes for a given time point or time point intersect are given in the respective section, the percentage in brackets represents the fraction of the total number of differentially expressed genes.</w:t>
      </w:r>
    </w:p>
    <w:p w14:paraId="0000029A" w14:textId="77777777" w:rsidR="002C03FB" w:rsidRPr="000859E7" w:rsidRDefault="002C03FB">
      <w:pPr>
        <w:jc w:val="both"/>
        <w:rPr>
          <w:b/>
        </w:rPr>
      </w:pPr>
    </w:p>
    <w:p w14:paraId="0000029B" w14:textId="77777777" w:rsidR="002C03FB" w:rsidRPr="000859E7" w:rsidRDefault="00E31F5A">
      <w:pPr>
        <w:jc w:val="both"/>
      </w:pPr>
      <w:r w:rsidRPr="000859E7">
        <w:rPr>
          <w:noProof/>
        </w:rPr>
        <w:drawing>
          <wp:inline distT="114300" distB="114300" distL="114300" distR="114300" wp14:anchorId="40FD62E3" wp14:editId="53C779F4">
            <wp:extent cx="5731200" cy="3238500"/>
            <wp:effectExtent l="0" t="0" r="0" b="0"/>
            <wp:docPr id="1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5731200" cy="3238500"/>
                    </a:xfrm>
                    <a:prstGeom prst="rect">
                      <a:avLst/>
                    </a:prstGeom>
                    <a:ln/>
                  </pic:spPr>
                </pic:pic>
              </a:graphicData>
            </a:graphic>
          </wp:inline>
        </w:drawing>
      </w:r>
    </w:p>
    <w:p w14:paraId="0000029C" w14:textId="77777777" w:rsidR="002C03FB" w:rsidRPr="000859E7" w:rsidRDefault="00E31F5A">
      <w:pPr>
        <w:jc w:val="both"/>
      </w:pPr>
      <w:r w:rsidRPr="000859E7">
        <w:rPr>
          <w:b/>
        </w:rPr>
        <w:t xml:space="preserve">Supplementary Figure S6: Transcription factors co-expression network. </w:t>
      </w:r>
      <w:r w:rsidRPr="000859E7">
        <w:t xml:space="preserve">Every node represents a gene encoding a transcription factor, and every edge represents a significant positive or negative correlation in their expression profile in the different treatments (WW and WD) and sampling dates. The node size was adjusted to reflect the number of edges (degree), and the </w:t>
      </w:r>
      <w:proofErr w:type="spellStart"/>
      <w:r w:rsidRPr="000859E7">
        <w:t>color</w:t>
      </w:r>
      <w:proofErr w:type="spellEnd"/>
      <w:r w:rsidRPr="000859E7">
        <w:t xml:space="preserve"> scale reflects the betweenness-centrality from yellow (low) to dark purple (high).</w:t>
      </w:r>
    </w:p>
    <w:p w14:paraId="0000029D" w14:textId="77777777" w:rsidR="002C03FB" w:rsidRPr="000859E7" w:rsidRDefault="00E31F5A">
      <w:pPr>
        <w:jc w:val="both"/>
      </w:pPr>
      <w:r w:rsidRPr="000859E7">
        <w:br w:type="page"/>
      </w:r>
    </w:p>
    <w:p w14:paraId="0000029E" w14:textId="77777777" w:rsidR="002C03FB" w:rsidRPr="000859E7" w:rsidRDefault="002C03FB">
      <w:pPr>
        <w:jc w:val="both"/>
      </w:pPr>
    </w:p>
    <w:p w14:paraId="0000029F" w14:textId="77777777" w:rsidR="002C03FB" w:rsidRPr="000859E7" w:rsidRDefault="002C03FB">
      <w:pPr>
        <w:jc w:val="center"/>
      </w:pPr>
    </w:p>
    <w:p w14:paraId="000002A0" w14:textId="4A4AF55D" w:rsidR="002C03FB" w:rsidRPr="000859E7" w:rsidRDefault="000859E7">
      <w:pPr>
        <w:jc w:val="both"/>
      </w:pPr>
      <w:r>
        <w:rPr>
          <w:noProof/>
        </w:rPr>
        <w:drawing>
          <wp:inline distT="0" distB="0" distL="0" distR="0" wp14:anchorId="6EA3024A" wp14:editId="57F6A0A2">
            <wp:extent cx="5727700" cy="2844800"/>
            <wp:effectExtent l="0" t="0" r="6350" b="0"/>
            <wp:docPr id="1465082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7700" cy="2844800"/>
                    </a:xfrm>
                    <a:prstGeom prst="rect">
                      <a:avLst/>
                    </a:prstGeom>
                    <a:noFill/>
                    <a:ln>
                      <a:noFill/>
                    </a:ln>
                  </pic:spPr>
                </pic:pic>
              </a:graphicData>
            </a:graphic>
          </wp:inline>
        </w:drawing>
      </w:r>
    </w:p>
    <w:p w14:paraId="000002A1" w14:textId="77777777" w:rsidR="002C03FB" w:rsidRPr="000859E7" w:rsidRDefault="002C03FB">
      <w:pPr>
        <w:jc w:val="both"/>
      </w:pPr>
    </w:p>
    <w:p w14:paraId="000002A3" w14:textId="5C2574E4" w:rsidR="002C03FB" w:rsidRDefault="00E31F5A">
      <w:pPr>
        <w:jc w:val="both"/>
      </w:pPr>
      <w:r w:rsidRPr="000859E7">
        <w:rPr>
          <w:b/>
        </w:rPr>
        <w:t>Supplementary Figure S7: Gene ontology enrichment</w:t>
      </w:r>
      <w:r w:rsidR="00A937F5">
        <w:rPr>
          <w:b/>
        </w:rPr>
        <w:t xml:space="preserve">. </w:t>
      </w:r>
      <w:r w:rsidRPr="000859E7">
        <w:t>Dot plots denoting significantly (</w:t>
      </w:r>
      <w:proofErr w:type="spellStart"/>
      <w:r w:rsidRPr="000859E7">
        <w:rPr>
          <w:i/>
        </w:rPr>
        <w:t>p</w:t>
      </w:r>
      <w:r w:rsidRPr="000859E7">
        <w:rPr>
          <w:i/>
          <w:vertAlign w:val="subscript"/>
        </w:rPr>
        <w:t>adj</w:t>
      </w:r>
      <w:proofErr w:type="spellEnd"/>
      <w:r w:rsidRPr="000859E7">
        <w:rPr>
          <w:i/>
        </w:rPr>
        <w:t xml:space="preserve"> </w:t>
      </w:r>
      <w:r w:rsidRPr="000859E7">
        <w:t xml:space="preserve">&lt; 0.05) enriched GO terms (biological process; BP) within respective clusters. </w:t>
      </w:r>
      <w:r w:rsidRPr="000859E7">
        <w:rPr>
          <w:i/>
        </w:rPr>
        <w:t>P-</w:t>
      </w:r>
      <w:r w:rsidRPr="000859E7">
        <w:t xml:space="preserve">values are given on a </w:t>
      </w:r>
      <w:proofErr w:type="spellStart"/>
      <w:r w:rsidRPr="000859E7">
        <w:t>color</w:t>
      </w:r>
      <w:proofErr w:type="spellEnd"/>
      <w:r w:rsidRPr="000859E7">
        <w:t xml:space="preserve"> scale from more significant (lower </w:t>
      </w:r>
      <w:r w:rsidRPr="000859E7">
        <w:rPr>
          <w:i/>
        </w:rPr>
        <w:t>p-</w:t>
      </w:r>
      <w:r w:rsidRPr="000859E7">
        <w:t xml:space="preserve">value; red) to less significant (higher </w:t>
      </w:r>
      <w:r w:rsidRPr="000859E7">
        <w:rPr>
          <w:i/>
        </w:rPr>
        <w:t>p-</w:t>
      </w:r>
      <w:r w:rsidRPr="000859E7">
        <w:t xml:space="preserve">value; blue). Dot size corresponds to the number of genes within an enriched GO term; fold enrichment (observed genes / expected genes) is given on the </w:t>
      </w:r>
      <w:r w:rsidRPr="000859E7">
        <w:rPr>
          <w:i/>
        </w:rPr>
        <w:t>x</w:t>
      </w:r>
      <w:r w:rsidRPr="000859E7">
        <w:t xml:space="preserve">-axis. The plots were generated using </w:t>
      </w:r>
      <w:proofErr w:type="spellStart"/>
      <w:r w:rsidRPr="000859E7">
        <w:t>ShinyGO</w:t>
      </w:r>
      <w:proofErr w:type="spellEnd"/>
      <w:r w:rsidRPr="000859E7">
        <w:t xml:space="preserve"> v0.77 (Ge </w:t>
      </w:r>
      <w:r w:rsidRPr="000859E7">
        <w:rPr>
          <w:i/>
        </w:rPr>
        <w:t>et al</w:t>
      </w:r>
      <w:r w:rsidRPr="000859E7">
        <w:t>., 2020).</w:t>
      </w:r>
    </w:p>
    <w:p w14:paraId="530AC9A9" w14:textId="77777777" w:rsidR="00204BC3" w:rsidRDefault="00204BC3">
      <w:pPr>
        <w:jc w:val="both"/>
      </w:pPr>
    </w:p>
    <w:p w14:paraId="45704318" w14:textId="44B3A640" w:rsidR="00204BC3" w:rsidRDefault="00734CB2">
      <w:pPr>
        <w:jc w:val="both"/>
        <w:rPr>
          <w:b/>
          <w:bCs/>
        </w:rPr>
      </w:pPr>
      <w:r w:rsidRPr="00734CB2">
        <w:rPr>
          <w:b/>
          <w:bCs/>
        </w:rPr>
        <w:t>Reference</w:t>
      </w:r>
      <w:r>
        <w:rPr>
          <w:b/>
          <w:bCs/>
        </w:rPr>
        <w:t>s</w:t>
      </w:r>
      <w:r w:rsidR="00204BC3">
        <w:rPr>
          <w:b/>
          <w:bCs/>
        </w:rPr>
        <w:t>:</w:t>
      </w:r>
    </w:p>
    <w:p w14:paraId="7C01A89E" w14:textId="77777777" w:rsidR="00204BC3" w:rsidRPr="00531D91" w:rsidRDefault="00204BC3" w:rsidP="00204BC3">
      <w:pPr>
        <w:pStyle w:val="Bibliography"/>
        <w:jc w:val="both"/>
        <w:rPr>
          <w:rFonts w:ascii="Calibri" w:hAnsi="Calibri" w:cs="Calibri"/>
          <w:color w:val="000000"/>
        </w:rPr>
      </w:pPr>
      <w:r w:rsidRPr="00FE316C">
        <w:rPr>
          <w:rFonts w:ascii="Calibri" w:hAnsi="Calibri" w:cs="Calibri"/>
          <w:color w:val="000000"/>
          <w:lang w:val="en-US"/>
        </w:rPr>
        <w:t xml:space="preserve">Ge, S. X., Jung, D., &amp; Yao, R. (2020). </w:t>
      </w:r>
      <w:proofErr w:type="spellStart"/>
      <w:r w:rsidRPr="00531D91">
        <w:rPr>
          <w:rFonts w:ascii="Calibri" w:hAnsi="Calibri" w:cs="Calibri"/>
          <w:color w:val="000000"/>
        </w:rPr>
        <w:t>ShinyGO</w:t>
      </w:r>
      <w:proofErr w:type="spellEnd"/>
      <w:r w:rsidRPr="00531D91">
        <w:rPr>
          <w:rFonts w:ascii="Calibri" w:hAnsi="Calibri" w:cs="Calibri"/>
          <w:color w:val="000000"/>
        </w:rPr>
        <w:t xml:space="preserve">: A graphical gene-set enrichment tool for animals and plants. </w:t>
      </w:r>
      <w:r w:rsidRPr="00531D91">
        <w:rPr>
          <w:rFonts w:ascii="Calibri" w:hAnsi="Calibri" w:cs="Calibri"/>
          <w:i/>
          <w:iCs/>
          <w:color w:val="000000"/>
        </w:rPr>
        <w:t>Bioinformatics</w:t>
      </w:r>
      <w:r w:rsidRPr="00531D91">
        <w:rPr>
          <w:rFonts w:ascii="Calibri" w:hAnsi="Calibri" w:cs="Calibri"/>
          <w:color w:val="000000"/>
        </w:rPr>
        <w:t xml:space="preserve">, </w:t>
      </w:r>
      <w:r w:rsidRPr="00531D91">
        <w:rPr>
          <w:rFonts w:ascii="Calibri" w:hAnsi="Calibri" w:cs="Calibri"/>
          <w:i/>
          <w:iCs/>
          <w:color w:val="000000"/>
        </w:rPr>
        <w:t>36</w:t>
      </w:r>
      <w:r w:rsidRPr="00531D91">
        <w:rPr>
          <w:rFonts w:ascii="Calibri" w:hAnsi="Calibri" w:cs="Calibri"/>
          <w:color w:val="000000"/>
        </w:rPr>
        <w:t>(8), 2628–2629. https://doi.org/10.1093/bioinformatics/btz931</w:t>
      </w:r>
    </w:p>
    <w:p w14:paraId="064EF6F8" w14:textId="77777777" w:rsidR="00204BC3" w:rsidRPr="00FE316C" w:rsidRDefault="00204BC3">
      <w:pPr>
        <w:jc w:val="both"/>
        <w:rPr>
          <w:b/>
          <w:bCs/>
        </w:rPr>
      </w:pPr>
    </w:p>
    <w:sectPr w:rsidR="00204BC3" w:rsidRPr="00FE316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FB"/>
    <w:rsid w:val="000859E7"/>
    <w:rsid w:val="001E533D"/>
    <w:rsid w:val="00204BC3"/>
    <w:rsid w:val="002C03FB"/>
    <w:rsid w:val="003673B8"/>
    <w:rsid w:val="003D5C0B"/>
    <w:rsid w:val="00497F22"/>
    <w:rsid w:val="004D7D68"/>
    <w:rsid w:val="005226A8"/>
    <w:rsid w:val="006B6CC3"/>
    <w:rsid w:val="00734CB2"/>
    <w:rsid w:val="007C4AAF"/>
    <w:rsid w:val="00A937F5"/>
    <w:rsid w:val="00BE2F9A"/>
    <w:rsid w:val="00C07CD6"/>
    <w:rsid w:val="00C74CFF"/>
    <w:rsid w:val="00CE05EC"/>
    <w:rsid w:val="00D3736D"/>
    <w:rsid w:val="00D7364E"/>
    <w:rsid w:val="00DA7749"/>
    <w:rsid w:val="00E31F5A"/>
    <w:rsid w:val="00EC3CD4"/>
    <w:rsid w:val="00EC632D"/>
    <w:rsid w:val="00FE316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2E92E8"/>
  <w15:docId w15:val="{92CC75D4-F295-4C8A-A24D-4701D3E64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fr-CH"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FE26D5"/>
    <w:rPr>
      <w:sz w:val="16"/>
      <w:szCs w:val="16"/>
    </w:rPr>
  </w:style>
  <w:style w:type="paragraph" w:styleId="CommentText">
    <w:name w:val="annotation text"/>
    <w:basedOn w:val="Normal"/>
    <w:link w:val="CommentTextChar"/>
    <w:uiPriority w:val="99"/>
    <w:semiHidden/>
    <w:unhideWhenUsed/>
    <w:rsid w:val="00FE26D5"/>
    <w:pPr>
      <w:spacing w:line="240" w:lineRule="auto"/>
    </w:pPr>
    <w:rPr>
      <w:sz w:val="20"/>
      <w:szCs w:val="20"/>
    </w:rPr>
  </w:style>
  <w:style w:type="character" w:customStyle="1" w:styleId="CommentTextChar">
    <w:name w:val="Comment Text Char"/>
    <w:basedOn w:val="DefaultParagraphFont"/>
    <w:link w:val="CommentText"/>
    <w:uiPriority w:val="99"/>
    <w:semiHidden/>
    <w:rsid w:val="00FE26D5"/>
    <w:rPr>
      <w:sz w:val="20"/>
      <w:szCs w:val="20"/>
    </w:rPr>
  </w:style>
  <w:style w:type="paragraph" w:styleId="CommentSubject">
    <w:name w:val="annotation subject"/>
    <w:basedOn w:val="CommentText"/>
    <w:next w:val="CommentText"/>
    <w:link w:val="CommentSubjectChar"/>
    <w:uiPriority w:val="99"/>
    <w:semiHidden/>
    <w:unhideWhenUsed/>
    <w:rsid w:val="00FE26D5"/>
    <w:rPr>
      <w:b/>
      <w:bCs/>
    </w:rPr>
  </w:style>
  <w:style w:type="character" w:customStyle="1" w:styleId="CommentSubjectChar">
    <w:name w:val="Comment Subject Char"/>
    <w:basedOn w:val="CommentTextChar"/>
    <w:link w:val="CommentSubject"/>
    <w:uiPriority w:val="99"/>
    <w:semiHidden/>
    <w:rsid w:val="00FE26D5"/>
    <w:rPr>
      <w:b/>
      <w:bCs/>
      <w:sz w:val="20"/>
      <w:szCs w:val="20"/>
    </w:rPr>
  </w:style>
  <w:style w:type="paragraph" w:styleId="Revision">
    <w:name w:val="Revision"/>
    <w:hidden/>
    <w:uiPriority w:val="99"/>
    <w:semiHidden/>
    <w:rsid w:val="00FE26D5"/>
    <w:pPr>
      <w:spacing w:line="240" w:lineRule="auto"/>
    </w:p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Bibliography">
    <w:name w:val="Bibliography"/>
    <w:basedOn w:val="Normal"/>
    <w:next w:val="Normal"/>
    <w:uiPriority w:val="37"/>
    <w:semiHidden/>
    <w:unhideWhenUsed/>
    <w:rsid w:val="00204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9z7vjBaKwbIBUJz+KWhj83S2KA==">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463</Words>
  <Characters>2646</Characters>
  <Application>Microsoft Office Word</Application>
  <DocSecurity>0</DocSecurity>
  <Lines>63</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Giovanni Bortolami</cp:lastModifiedBy>
  <cp:revision>2</cp:revision>
  <dcterms:created xsi:type="dcterms:W3CDTF">2024-08-26T11:47:00Z</dcterms:created>
  <dcterms:modified xsi:type="dcterms:W3CDTF">2024-08-26T11:47:00Z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id="3QJLn1sW"/&gt;&lt;style id="http://www.zotero.org/styles/apa" locale="en-US"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GrammarlyDocumentId">
    <vt:lpwstr>7b0ff8fa995dabc9768e478c595545a8b12bc060cacfdda54ffd37105af66abd</vt:lpwstr>
  </property>
</Properties>
</file>