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01A17" w14:textId="77777777" w:rsidR="008002BE" w:rsidRPr="00E54CAA" w:rsidRDefault="008002BE" w:rsidP="008002BE">
      <w:pPr>
        <w:jc w:val="both"/>
      </w:pPr>
      <w:r w:rsidRPr="00E54CAA">
        <w:rPr>
          <w:noProof/>
        </w:rPr>
        <w:drawing>
          <wp:inline distT="0" distB="0" distL="0" distR="0" wp14:anchorId="600B6C5D" wp14:editId="31491C07">
            <wp:extent cx="5690116" cy="4022634"/>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690116" cy="4022634"/>
                    </a:xfrm>
                    <a:prstGeom prst="rect">
                      <a:avLst/>
                    </a:prstGeom>
                  </pic:spPr>
                </pic:pic>
              </a:graphicData>
            </a:graphic>
          </wp:inline>
        </w:drawing>
      </w:r>
    </w:p>
    <w:p w14:paraId="5F25CE27" w14:textId="77777777" w:rsidR="008002BE" w:rsidRPr="00E54CAA" w:rsidRDefault="008002BE" w:rsidP="008002BE">
      <w:pPr>
        <w:spacing w:before="240" w:after="0" w:line="280" w:lineRule="exact"/>
        <w:jc w:val="both"/>
      </w:pPr>
      <w:r w:rsidRPr="00E54CAA">
        <w:rPr>
          <w:b/>
          <w:bCs/>
        </w:rPr>
        <w:t xml:space="preserve">Supplementary Figure S1: Flow diagram of the model. </w:t>
      </w:r>
      <w:r w:rsidRPr="00E54CAA">
        <w:t xml:space="preserve">The event-based computational model employs a Gillespie algorithm to simulate the dynamics of virus-cell interactions along with the effect of an immune response. The model consists of stromal cells, virus-infected cells, infection-sensitive cancer cells, and infection-resistant cancer cells. Stromal and cancer cells can proliferate at rates </w:t>
      </w:r>
      <w:r w:rsidRPr="00E54CAA">
        <w:rPr>
          <w:noProof/>
          <w:position w:val="-10"/>
        </w:rPr>
        <w:object w:dxaOrig="720" w:dyaOrig="320" w14:anchorId="5AB1E8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pt;height:16.15pt;mso-width-percent:0;mso-height-percent:0;mso-width-percent:0;mso-height-percent:0" o:ole="">
            <v:imagedata r:id="rId5" o:title=""/>
          </v:shape>
          <o:OLEObject Type="Embed" ProgID="Equation.DSMT4" ShapeID="_x0000_i1025" DrawAspect="Content" ObjectID="_1790442143" r:id="rId6"/>
        </w:object>
      </w:r>
      <w:r w:rsidRPr="00E54CAA">
        <w:t xml:space="preserve"> and </w:t>
      </w:r>
      <w:r w:rsidRPr="00E54CAA">
        <w:rPr>
          <w:noProof/>
          <w:position w:val="-10"/>
        </w:rPr>
        <w:object w:dxaOrig="720" w:dyaOrig="320" w14:anchorId="761FE847">
          <v:shape id="_x0000_i1026" type="#_x0000_t75" alt="" style="width:36pt;height:16.15pt;mso-width-percent:0;mso-height-percent:0;mso-width-percent:0;mso-height-percent:0" o:ole="">
            <v:imagedata r:id="rId7" o:title=""/>
          </v:shape>
          <o:OLEObject Type="Embed" ProgID="Equation.DSMT4" ShapeID="_x0000_i1026" DrawAspect="Content" ObjectID="_1790442144" r:id="rId8"/>
        </w:object>
      </w:r>
      <w:r w:rsidRPr="00E54CAA">
        <w:t xml:space="preserve"> respectively, while virus-infected cells can proliferate and spread the virus to adjacent infection-sensitive cells at a rate </w:t>
      </w:r>
      <w:r w:rsidRPr="00E54CAA">
        <w:rPr>
          <w:noProof/>
          <w:position w:val="-14"/>
        </w:rPr>
        <w:object w:dxaOrig="240" w:dyaOrig="360" w14:anchorId="411ED66B">
          <v:shape id="_x0000_i1027" type="#_x0000_t75" alt="" style="width:12pt;height:17.65pt;mso-width-percent:0;mso-height-percent:0;mso-width-percent:0;mso-height-percent:0" o:ole="">
            <v:imagedata r:id="rId9" o:title=""/>
          </v:shape>
          <o:OLEObject Type="Embed" ProgID="Equation.DSMT4" ShapeID="_x0000_i1027" DrawAspect="Content" ObjectID="_1790442145" r:id="rId10"/>
        </w:object>
      </w:r>
      <w:r w:rsidRPr="00E54CAA">
        <w:t xml:space="preserve"> that varied across simulations, ranging from 0 to 5. Infection-sensitive cancer cells divide and give rise to resistant cells with a probability </w:t>
      </w:r>
      <w:r w:rsidRPr="00E54CAA">
        <w:rPr>
          <w:noProof/>
          <w:position w:val="-10"/>
        </w:rPr>
        <w:object w:dxaOrig="820" w:dyaOrig="340" w14:anchorId="57148CA1">
          <v:shape id="_x0000_i1028" type="#_x0000_t75" alt="" style="width:40.5pt;height:17.25pt;mso-width-percent:0;mso-height-percent:0;mso-width-percent:0;mso-height-percent:0" o:ole="">
            <v:imagedata r:id="rId11" o:title=""/>
          </v:shape>
          <o:OLEObject Type="Embed" ProgID="Equation.DSMT4" ShapeID="_x0000_i1028" DrawAspect="Content" ObjectID="_1790442146" r:id="rId12"/>
        </w:object>
      </w:r>
      <w:r w:rsidRPr="00E54CAA">
        <w:t xml:space="preserve">. Resistant cells proliferate at a rate </w:t>
      </w:r>
      <w:r w:rsidRPr="00E54CAA">
        <w:rPr>
          <w:noProof/>
          <w:position w:val="-14"/>
        </w:rPr>
        <w:object w:dxaOrig="760" w:dyaOrig="360" w14:anchorId="4A63DA73">
          <v:shape id="_x0000_i1029" type="#_x0000_t75" alt="" style="width:38.25pt;height:17.65pt;mso-width-percent:0;mso-height-percent:0;mso-width-percent:0;mso-height-percent:0" o:ole="">
            <v:imagedata r:id="rId13" o:title=""/>
          </v:shape>
          <o:OLEObject Type="Embed" ProgID="Equation.DSMT4" ShapeID="_x0000_i1029" DrawAspect="Content" ObjectID="_1790442147" r:id="rId14"/>
        </w:object>
      </w:r>
      <w:r w:rsidRPr="00E54CAA">
        <w:t xml:space="preserve"> that is slightly lower than that of infection-sensitive cancer cells due to an assumed cost of resistance. The death rates are: </w:t>
      </w:r>
      <w:r w:rsidRPr="00E54CAA">
        <w:rPr>
          <w:noProof/>
          <w:position w:val="-10"/>
        </w:rPr>
        <w:object w:dxaOrig="740" w:dyaOrig="320" w14:anchorId="73C03F12">
          <v:shape id="_x0000_i1030" type="#_x0000_t75" alt="" style="width:36.75pt;height:16.15pt;mso-width-percent:0;mso-height-percent:0;mso-width-percent:0;mso-height-percent:0" o:ole="">
            <v:imagedata r:id="rId15" o:title=""/>
          </v:shape>
          <o:OLEObject Type="Embed" ProgID="Equation.DSMT4" ShapeID="_x0000_i1030" DrawAspect="Content" ObjectID="_1790442148" r:id="rId16"/>
        </w:object>
      </w:r>
      <w:r w:rsidRPr="00E54CAA">
        <w:t xml:space="preserve"> for stromal cells, </w:t>
      </w:r>
      <w:r w:rsidRPr="00E54CAA">
        <w:rPr>
          <w:noProof/>
          <w:position w:val="-10"/>
        </w:rPr>
        <w:object w:dxaOrig="740" w:dyaOrig="320" w14:anchorId="314098D1">
          <v:shape id="_x0000_i1031" type="#_x0000_t75" alt="" style="width:36.75pt;height:16.15pt;mso-width-percent:0;mso-height-percent:0;mso-width-percent:0;mso-height-percent:0" o:ole="">
            <v:imagedata r:id="rId17" o:title=""/>
          </v:shape>
          <o:OLEObject Type="Embed" ProgID="Equation.DSMT4" ShapeID="_x0000_i1031" DrawAspect="Content" ObjectID="_1790442149" r:id="rId18"/>
        </w:object>
      </w:r>
      <w:r w:rsidRPr="00E54CAA">
        <w:t xml:space="preserve"> for cancer cells, and </w:t>
      </w:r>
      <w:r w:rsidRPr="00E54CAA">
        <w:rPr>
          <w:noProof/>
          <w:position w:val="-10"/>
        </w:rPr>
        <w:object w:dxaOrig="740" w:dyaOrig="320" w14:anchorId="16334665">
          <v:shape id="_x0000_i1032" type="#_x0000_t75" alt="" style="width:36.75pt;height:16.15pt;mso-width-percent:0;mso-height-percent:0;mso-width-percent:0;mso-height-percent:0" o:ole="">
            <v:imagedata r:id="rId19" o:title=""/>
          </v:shape>
          <o:OLEObject Type="Embed" ProgID="Equation.DSMT4" ShapeID="_x0000_i1032" DrawAspect="Content" ObjectID="_1790442150" r:id="rId20"/>
        </w:object>
      </w:r>
      <w:r w:rsidRPr="00E54CAA">
        <w:t xml:space="preserve"> for resistant cancer cells; the death rate </w:t>
      </w:r>
      <w:r w:rsidRPr="00E54CAA">
        <w:rPr>
          <w:noProof/>
          <w:position w:val="-10"/>
        </w:rPr>
        <w:object w:dxaOrig="220" w:dyaOrig="320" w14:anchorId="48205A92">
          <v:shape id="_x0000_i1033" type="#_x0000_t75" alt="" style="width:10.5pt;height:16.15pt;mso-width-percent:0;mso-height-percent:0;mso-width-percent:0;mso-height-percent:0" o:ole="">
            <v:imagedata r:id="rId21" o:title=""/>
          </v:shape>
          <o:OLEObject Type="Embed" ProgID="Equation.DSMT4" ShapeID="_x0000_i1033" DrawAspect="Content" ObjectID="_1790442151" r:id="rId22"/>
        </w:object>
      </w:r>
      <w:r w:rsidRPr="00E54CAA">
        <w:t xml:space="preserve"> varied across simulations, ranging from 0 to 2. Upon death, infected cells release an amount </w:t>
      </w:r>
      <w:r w:rsidRPr="00BD36D2">
        <w:rPr>
          <w:rFonts w:cs="Calibri"/>
          <w:i/>
          <w:iCs/>
        </w:rPr>
        <w:t>λ</w:t>
      </w:r>
      <w:r w:rsidRPr="00E54CAA">
        <w:t xml:space="preserve"> of immunogenic molecules, which can then diffuse at a rate </w:t>
      </w:r>
      <w:r w:rsidRPr="00BD36D2">
        <w:rPr>
          <w:i/>
          <w:iCs/>
        </w:rPr>
        <w:t>δ</w:t>
      </w:r>
      <w:r w:rsidRPr="00E54CAA">
        <w:t xml:space="preserve"> and evaporate at rate </w:t>
      </w:r>
      <w:r w:rsidRPr="00BD36D2">
        <w:rPr>
          <w:i/>
          <w:iCs/>
        </w:rPr>
        <w:t>ε</w:t>
      </w:r>
      <w:r w:rsidRPr="00E54CAA">
        <w:t xml:space="preserve">. When the immune response is active, the cells can be either sensitive or resistant to T-cell-mediated cytotoxicity, where only sensitive cells die at an elevated death rate χ(η). All the rates in the model are expressed in events per day, except diffusion and evaporation rates of immunogenic molecules which are updated every </w:t>
      </w:r>
      <w:r w:rsidRPr="00E54CAA">
        <w:rPr>
          <w:noProof/>
          <w:position w:val="-6"/>
        </w:rPr>
        <w:object w:dxaOrig="859" w:dyaOrig="260" w14:anchorId="1C3F70A1">
          <v:shape id="_x0000_i1034" type="#_x0000_t75" alt="" style="width:43.15pt;height:13.5pt;mso-width-percent:0;mso-height-percent:0;mso-width-percent:0;mso-height-percent:0" o:ole="">
            <v:imagedata r:id="rId23" o:title=""/>
          </v:shape>
          <o:OLEObject Type="Embed" ProgID="Equation.DSMT4" ShapeID="_x0000_i1034" DrawAspect="Content" ObjectID="_1790442152" r:id="rId24"/>
        </w:object>
      </w:r>
      <w:r w:rsidRPr="00E54CAA">
        <w:t>day.</w:t>
      </w:r>
      <w:r w:rsidRPr="00E54CAA">
        <w:br w:type="page"/>
      </w:r>
    </w:p>
    <w:p w14:paraId="48629A4A" w14:textId="77777777" w:rsidR="008002BE" w:rsidRPr="00E54CAA" w:rsidRDefault="008002BE" w:rsidP="008002BE">
      <w:pPr>
        <w:jc w:val="both"/>
      </w:pPr>
      <w:r w:rsidRPr="00E54CAA">
        <w:rPr>
          <w:noProof/>
        </w:rPr>
        <w:lastRenderedPageBreak/>
        <w:drawing>
          <wp:inline distT="114300" distB="114300" distL="114300" distR="114300" wp14:anchorId="5CC51621" wp14:editId="0FEEC4CF">
            <wp:extent cx="5713646" cy="3681451"/>
            <wp:effectExtent l="0" t="0" r="0" b="0"/>
            <wp:docPr id="117" name="image4.png"/>
            <wp:cNvGraphicFramePr/>
            <a:graphic xmlns:a="http://schemas.openxmlformats.org/drawingml/2006/main">
              <a:graphicData uri="http://schemas.openxmlformats.org/drawingml/2006/picture">
                <pic:pic xmlns:pic="http://schemas.openxmlformats.org/drawingml/2006/picture">
                  <pic:nvPicPr>
                    <pic:cNvPr id="117" name="image4.png"/>
                    <pic:cNvPicPr preferRelativeResize="0"/>
                  </pic:nvPicPr>
                  <pic:blipFill>
                    <a:blip r:embed="rId25" cstate="print">
                      <a:extLst>
                        <a:ext uri="{28A0092B-C50C-407E-A947-70E740481C1C}">
                          <a14:useLocalDpi xmlns:a14="http://schemas.microsoft.com/office/drawing/2010/main" val="0"/>
                        </a:ext>
                      </a:extLst>
                    </a:blip>
                    <a:stretch>
                      <a:fillRect/>
                    </a:stretch>
                  </pic:blipFill>
                  <pic:spPr>
                    <a:xfrm>
                      <a:off x="0" y="0"/>
                      <a:ext cx="5713646" cy="3681451"/>
                    </a:xfrm>
                    <a:prstGeom prst="rect">
                      <a:avLst/>
                    </a:prstGeom>
                    <a:ln/>
                  </pic:spPr>
                </pic:pic>
              </a:graphicData>
            </a:graphic>
          </wp:inline>
        </w:drawing>
      </w:r>
    </w:p>
    <w:p w14:paraId="09C5E6D9" w14:textId="77777777" w:rsidR="008002BE" w:rsidRPr="00E54CAA" w:rsidRDefault="008002BE" w:rsidP="008002BE">
      <w:pPr>
        <w:jc w:val="both"/>
      </w:pPr>
      <w:r w:rsidRPr="00E54CAA">
        <w:rPr>
          <w:b/>
          <w:bCs/>
        </w:rPr>
        <w:t>Supplementary Figure S2: Effect of T-cell specificity against different cell types present in the tumour.</w:t>
      </w:r>
      <w:r w:rsidRPr="00E54CAA">
        <w:t xml:space="preserve"> For two diffusion rates of immunogenic molecules, the panels show how the outcome of oncolytic virotherapy is affected if the T-cells target more than one cell type in the model. Each of the panels shows a possible scenario where the T-cell-mediated cytotoxicity is targeted or not towards a specific cell type. The columns are arranged to show four scenarios: no cytotoxicity (first column), and T-cell-mediated cytotoxicity towards infected cells (second column), towards infection-resistant cells (third column), and towards both infected and infection-resistant cells (fourth column). The rows are arranged to show four scenarios as well: no cytotoxicity (first row), and T-cell-mediated cytotoxicity towards stromal cells (second row), towards infection-sensitive cancer cells (third row), and towards both stromal cells and infection-sensitive cells (fourth row). The combination of scenarios where T-cell-mediated cytotoxicity acts towards one or more cell types results in sixteen scenarios ranging from no cytotoxicity (top left) to non-specific cytotoxicity (bottom right). The sixteen scenarios were studied for </w:t>
      </w:r>
      <w:r w:rsidRPr="00E54CAA">
        <w:rPr>
          <w:b/>
          <w:bCs/>
        </w:rPr>
        <w:t>(A)</w:t>
      </w:r>
      <w:r w:rsidRPr="00E54CAA">
        <w:t xml:space="preserve"> a low (</w:t>
      </w:r>
      <w:r w:rsidRPr="00E54CAA">
        <w:rPr>
          <w:noProof/>
          <w:position w:val="-6"/>
        </w:rPr>
        <w:object w:dxaOrig="780" w:dyaOrig="260" w14:anchorId="48D07EF2">
          <v:shape id="_x0000_i1035" type="#_x0000_t75" alt="" style="width:39pt;height:13.5pt;mso-width-percent:0;mso-height-percent:0;mso-width-percent:0;mso-height-percent:0" o:ole="">
            <v:imagedata r:id="rId26" o:title=""/>
          </v:shape>
          <o:OLEObject Type="Embed" ProgID="Equation.DSMT4" ShapeID="_x0000_i1035" DrawAspect="Content" ObjectID="_1790442153" r:id="rId27"/>
        </w:object>
      </w:r>
      <w:r w:rsidRPr="00E54CAA">
        <w:t xml:space="preserve">) and </w:t>
      </w:r>
      <w:r w:rsidRPr="00E54CAA">
        <w:rPr>
          <w:b/>
          <w:bCs/>
        </w:rPr>
        <w:t>(B)</w:t>
      </w:r>
      <w:r w:rsidRPr="00E54CAA">
        <w:t xml:space="preserve"> a high (</w:t>
      </w:r>
      <w:r w:rsidRPr="00E54CAA">
        <w:rPr>
          <w:noProof/>
          <w:position w:val="-6"/>
        </w:rPr>
        <w:object w:dxaOrig="680" w:dyaOrig="260" w14:anchorId="01A2D512">
          <v:shape id="_x0000_i1036" type="#_x0000_t75" alt="" style="width:33.75pt;height:13.5pt;mso-width-percent:0;mso-height-percent:0;mso-width-percent:0;mso-height-percent:0" o:ole="">
            <v:imagedata r:id="rId28" o:title=""/>
          </v:shape>
          <o:OLEObject Type="Embed" ProgID="Equation.DSMT4" ShapeID="_x0000_i1036" DrawAspect="Content" ObjectID="_1790442154" r:id="rId29"/>
        </w:object>
      </w:r>
      <w:r w:rsidRPr="00E54CAA">
        <w:t>) diffusion rate of immunogenic molecules. For each graph in the figure, 10,000 simulations were run for parameter combinations (</w:t>
      </w:r>
      <w:r w:rsidRPr="00E54CAA">
        <w:rPr>
          <w:i/>
        </w:rPr>
        <w:t>b</w:t>
      </w:r>
      <w:r w:rsidRPr="00E54CAA">
        <w:rPr>
          <w:i/>
          <w:vertAlign w:val="subscript"/>
        </w:rPr>
        <w:t>i</w:t>
      </w:r>
      <w:r w:rsidRPr="00E54CAA">
        <w:rPr>
          <w:i/>
        </w:rPr>
        <w:t>, d</w:t>
      </w:r>
      <w:r w:rsidRPr="00E54CAA">
        <w:rPr>
          <w:i/>
          <w:vertAlign w:val="subscript"/>
        </w:rPr>
        <w:t>i</w:t>
      </w:r>
      <w:r w:rsidRPr="00E54CAA">
        <w:t>) chosen randomly within the specified range. Each simulation is represented by a point, the colour of which indicates the therapeutic outcome. All model parameters were kept at their default values except the ones under investigation.</w:t>
      </w:r>
      <w:r w:rsidRPr="00E54CAA">
        <w:br w:type="page"/>
      </w:r>
    </w:p>
    <w:p w14:paraId="0835BDC5" w14:textId="77777777" w:rsidR="008002BE" w:rsidRPr="00E54CAA" w:rsidRDefault="008002BE" w:rsidP="008002BE">
      <w:pPr>
        <w:jc w:val="both"/>
      </w:pPr>
      <w:r w:rsidRPr="00E54CAA">
        <w:rPr>
          <w:noProof/>
        </w:rPr>
        <w:lastRenderedPageBreak/>
        <w:drawing>
          <wp:inline distT="114300" distB="114300" distL="114300" distR="114300" wp14:anchorId="5601045A" wp14:editId="0010D1A8">
            <wp:extent cx="5677883" cy="3027654"/>
            <wp:effectExtent l="0" t="0" r="0" b="0"/>
            <wp:docPr id="120" name="image6.png"/>
            <wp:cNvGraphicFramePr/>
            <a:graphic xmlns:a="http://schemas.openxmlformats.org/drawingml/2006/main">
              <a:graphicData uri="http://schemas.openxmlformats.org/drawingml/2006/picture">
                <pic:pic xmlns:pic="http://schemas.openxmlformats.org/drawingml/2006/picture">
                  <pic:nvPicPr>
                    <pic:cNvPr id="120" name="image6.png"/>
                    <pic:cNvPicPr preferRelativeResize="0"/>
                  </pic:nvPicPr>
                  <pic:blipFill>
                    <a:blip r:embed="rId30" cstate="print">
                      <a:extLst>
                        <a:ext uri="{28A0092B-C50C-407E-A947-70E740481C1C}">
                          <a14:useLocalDpi xmlns:a14="http://schemas.microsoft.com/office/drawing/2010/main" val="0"/>
                        </a:ext>
                      </a:extLst>
                    </a:blip>
                    <a:stretch>
                      <a:fillRect/>
                    </a:stretch>
                  </pic:blipFill>
                  <pic:spPr>
                    <a:xfrm>
                      <a:off x="0" y="0"/>
                      <a:ext cx="5677883" cy="3027654"/>
                    </a:xfrm>
                    <a:prstGeom prst="rect">
                      <a:avLst/>
                    </a:prstGeom>
                    <a:ln/>
                  </pic:spPr>
                </pic:pic>
              </a:graphicData>
            </a:graphic>
          </wp:inline>
        </w:drawing>
      </w:r>
    </w:p>
    <w:p w14:paraId="10BDE51E" w14:textId="77777777" w:rsidR="008002BE" w:rsidRPr="00E54CAA" w:rsidRDefault="008002BE" w:rsidP="008002BE">
      <w:pPr>
        <w:spacing w:before="120" w:after="0" w:line="280" w:lineRule="exact"/>
        <w:jc w:val="both"/>
      </w:pPr>
      <w:r w:rsidRPr="00E54CAA">
        <w:rPr>
          <w:b/>
          <w:bCs/>
        </w:rPr>
        <w:t>Supplementary Figure S3: Effect of T-cell specificity against different cell types present in a 3D tumour model.</w:t>
      </w:r>
      <w:r w:rsidRPr="00E54CAA">
        <w:t xml:space="preserve"> The panels show how the outcome of oncolytic virotherapy is affected if the T-cells do not target infection-sensitive cancer cells (the standard scenario) but other cells in a 3D version of the model. Six scenarios were studied for </w:t>
      </w:r>
      <w:r w:rsidRPr="00E54CAA">
        <w:rPr>
          <w:b/>
          <w:bCs/>
        </w:rPr>
        <w:t xml:space="preserve">(A) </w:t>
      </w:r>
      <w:r w:rsidRPr="00E54CAA">
        <w:t>low (</w:t>
      </w:r>
      <w:r w:rsidRPr="00E54CAA">
        <w:rPr>
          <w:noProof/>
          <w:position w:val="-6"/>
        </w:rPr>
        <w:object w:dxaOrig="780" w:dyaOrig="260" w14:anchorId="5ED4CE22">
          <v:shape id="_x0000_i1037" type="#_x0000_t75" alt="" style="width:39pt;height:13.5pt;mso-width-percent:0;mso-height-percent:0;mso-width-percent:0;mso-height-percent:0" o:ole="">
            <v:imagedata r:id="rId26" o:title=""/>
          </v:shape>
          <o:OLEObject Type="Embed" ProgID="Equation.DSMT4" ShapeID="_x0000_i1037" DrawAspect="Content" ObjectID="_1790442155" r:id="rId31"/>
        </w:object>
      </w:r>
      <w:r w:rsidRPr="00E54CAA">
        <w:t xml:space="preserve">) and </w:t>
      </w:r>
      <w:r w:rsidRPr="00E54CAA">
        <w:rPr>
          <w:b/>
          <w:bCs/>
        </w:rPr>
        <w:t>(B)</w:t>
      </w:r>
      <w:r w:rsidRPr="00E54CAA">
        <w:t xml:space="preserve"> high (</w:t>
      </w:r>
      <w:r w:rsidRPr="00E54CAA">
        <w:rPr>
          <w:noProof/>
          <w:position w:val="-6"/>
        </w:rPr>
        <w:object w:dxaOrig="680" w:dyaOrig="260" w14:anchorId="24F4C9D8">
          <v:shape id="_x0000_i1038" type="#_x0000_t75" alt="" style="width:33.75pt;height:13.5pt;mso-width-percent:0;mso-height-percent:0;mso-width-percent:0;mso-height-percent:0" o:ole="">
            <v:imagedata r:id="rId32" o:title=""/>
          </v:shape>
          <o:OLEObject Type="Embed" ProgID="Equation.DSMT4" ShapeID="_x0000_i1038" DrawAspect="Content" ObjectID="_1790442156" r:id="rId33"/>
        </w:object>
      </w:r>
      <w:r w:rsidRPr="00E54CAA">
        <w:t>) diffusion rates of immunogenic molecules. The six scenarios considered (left to right) were: no cytotoxicity (absence of an immune response), and T-cell-mediated cytotoxicity targeted towards either infected cells, infection-resistant cancer cells, stromal cells, infection-sensitive cancer cells, or all cell types present. For each graph in the figure, 10,000 simulations were run for parameter combinations (</w:t>
      </w:r>
      <w:r w:rsidRPr="00E54CAA">
        <w:rPr>
          <w:i/>
        </w:rPr>
        <w:t>b</w:t>
      </w:r>
      <w:r w:rsidRPr="00E54CAA">
        <w:rPr>
          <w:i/>
          <w:vertAlign w:val="subscript"/>
        </w:rPr>
        <w:t>i</w:t>
      </w:r>
      <w:r w:rsidRPr="00E54CAA">
        <w:rPr>
          <w:i/>
        </w:rPr>
        <w:t>, d</w:t>
      </w:r>
      <w:r w:rsidRPr="00E54CAA">
        <w:rPr>
          <w:i/>
          <w:vertAlign w:val="subscript"/>
        </w:rPr>
        <w:t>i</w:t>
      </w:r>
      <w:r w:rsidRPr="00E54CAA">
        <w:t>) chosen randomly within the specified range. Each simulation is represented by a point, the colour of which indicates the therapeutic outcome. All model parameters were kept at their default values except the ones under investigation.</w:t>
      </w:r>
    </w:p>
    <w:p w14:paraId="721DFBAD" w14:textId="77777777" w:rsidR="007A6740" w:rsidRDefault="007A6740"/>
    <w:sectPr w:rsidR="007A67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2BE"/>
    <w:rsid w:val="007A6740"/>
    <w:rsid w:val="008002BE"/>
    <w:rsid w:val="00BD36D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77425"/>
  <w15:chartTrackingRefBased/>
  <w15:docId w15:val="{8C0DB0E1-7715-49FC-882E-970AD5029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2BE"/>
    <w:rPr>
      <w:rFonts w:ascii="Calibri" w:eastAsia="Calibri" w:hAnsi="Calibri" w:cs="Mangal"/>
      <w:lang w:val="en-GB"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oleObject" Target="embeddings/oleObject7.bin"/><Relationship Id="rId26" Type="http://schemas.openxmlformats.org/officeDocument/2006/relationships/image" Target="media/image13.wmf"/><Relationship Id="rId3" Type="http://schemas.openxmlformats.org/officeDocument/2006/relationships/webSettings" Target="webSettings.xml"/><Relationship Id="rId21" Type="http://schemas.openxmlformats.org/officeDocument/2006/relationships/image" Target="media/image10.wmf"/><Relationship Id="rId34" Type="http://schemas.openxmlformats.org/officeDocument/2006/relationships/fontTable" Target="fontTable.xml"/><Relationship Id="rId7" Type="http://schemas.openxmlformats.org/officeDocument/2006/relationships/image" Target="media/image3.wmf"/><Relationship Id="rId12" Type="http://schemas.openxmlformats.org/officeDocument/2006/relationships/oleObject" Target="embeddings/oleObject4.bin"/><Relationship Id="rId17" Type="http://schemas.openxmlformats.org/officeDocument/2006/relationships/image" Target="media/image8.wmf"/><Relationship Id="rId25" Type="http://schemas.openxmlformats.org/officeDocument/2006/relationships/image" Target="media/image12.emf"/><Relationship Id="rId33" Type="http://schemas.openxmlformats.org/officeDocument/2006/relationships/oleObject" Target="embeddings/oleObject14.bin"/><Relationship Id="rId2" Type="http://schemas.openxmlformats.org/officeDocument/2006/relationships/settings" Target="setting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oleObject" Target="embeddings/oleObject12.bin"/><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5.wmf"/><Relationship Id="rId24" Type="http://schemas.openxmlformats.org/officeDocument/2006/relationships/oleObject" Target="embeddings/oleObject10.bin"/><Relationship Id="rId32" Type="http://schemas.openxmlformats.org/officeDocument/2006/relationships/image" Target="media/image16.wmf"/><Relationship Id="rId5" Type="http://schemas.openxmlformats.org/officeDocument/2006/relationships/image" Target="media/image2.wmf"/><Relationship Id="rId15" Type="http://schemas.openxmlformats.org/officeDocument/2006/relationships/image" Target="media/image7.wmf"/><Relationship Id="rId23" Type="http://schemas.openxmlformats.org/officeDocument/2006/relationships/image" Target="media/image11.wmf"/><Relationship Id="rId28" Type="http://schemas.openxmlformats.org/officeDocument/2006/relationships/image" Target="media/image14.wmf"/><Relationship Id="rId10" Type="http://schemas.openxmlformats.org/officeDocument/2006/relationships/oleObject" Target="embeddings/oleObject3.bin"/><Relationship Id="rId19" Type="http://schemas.openxmlformats.org/officeDocument/2006/relationships/image" Target="media/image9.wmf"/><Relationship Id="rId31" Type="http://schemas.openxmlformats.org/officeDocument/2006/relationships/oleObject" Target="embeddings/oleObject13.bin"/><Relationship Id="rId4" Type="http://schemas.openxmlformats.org/officeDocument/2006/relationships/image" Target="media/image1.emf"/><Relationship Id="rId9" Type="http://schemas.openxmlformats.org/officeDocument/2006/relationships/image" Target="media/image4.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oleObject" Target="embeddings/oleObject11.bin"/><Relationship Id="rId30" Type="http://schemas.openxmlformats.org/officeDocument/2006/relationships/image" Target="media/image15.emf"/><Relationship Id="rId35" Type="http://schemas.openxmlformats.org/officeDocument/2006/relationships/theme" Target="theme/theme1.xml"/><Relationship Id="rId8"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667</Words>
  <Characters>3804</Characters>
  <Application>Microsoft Office Word</Application>
  <DocSecurity>0</DocSecurity>
  <Lines>31</Lines>
  <Paragraphs>8</Paragraphs>
  <ScaleCrop>false</ScaleCrop>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Darshak Bhatt</dc:creator>
  <cp:keywords/>
  <dc:description/>
  <cp:lastModifiedBy>Darshak Bhatt</cp:lastModifiedBy>
  <cp:revision>2</cp:revision>
  <dcterms:created xsi:type="dcterms:W3CDTF">2024-04-09T19:43:00Z</dcterms:created>
  <dcterms:modified xsi:type="dcterms:W3CDTF">2024-10-14T18:16:00Z</dcterms:modified>
</cp:coreProperties>
</file>