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15FF4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</w:rPr>
        <w:t>Supplementary Table 1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Cox proportional hazard ratios (HR) for all-cause mortality using one dataset with imputed data compared another without imputed data</w:t>
      </w:r>
    </w:p>
    <w:tbl>
      <w:tblPr>
        <w:tblStyle w:val="4"/>
        <w:tblW w:w="1421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1466"/>
        <w:gridCol w:w="851"/>
        <w:gridCol w:w="1639"/>
        <w:gridCol w:w="922"/>
        <w:gridCol w:w="1543"/>
        <w:gridCol w:w="837"/>
        <w:gridCol w:w="1512"/>
        <w:gridCol w:w="907"/>
        <w:gridCol w:w="1702"/>
        <w:gridCol w:w="837"/>
      </w:tblGrid>
      <w:tr w14:paraId="241BF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001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E3E05D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Categories</w:t>
            </w:r>
          </w:p>
        </w:tc>
        <w:tc>
          <w:tcPr>
            <w:tcW w:w="14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F7DE0"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CC1B5"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941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0139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the dataset with imputed data</w:t>
            </w:r>
          </w:p>
        </w:tc>
        <w:tc>
          <w:tcPr>
            <w:tcW w:w="4958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C9C1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without imputed data</w:t>
            </w:r>
          </w:p>
        </w:tc>
      </w:tr>
      <w:tr w14:paraId="4F63A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01" w:type="dxa"/>
            <w:vMerge w:val="continue"/>
            <w:tcBorders>
              <w:left w:val="nil"/>
              <w:right w:val="nil"/>
            </w:tcBorders>
            <w:shd w:val="clear" w:color="auto" w:fill="auto"/>
          </w:tcPr>
          <w:p w14:paraId="5FCFE475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1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457C4208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Model 1</w:t>
            </w:r>
          </w:p>
        </w:tc>
        <w:tc>
          <w:tcPr>
            <w:tcW w:w="2561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4AFE0B77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Model 2</w:t>
            </w:r>
          </w:p>
        </w:tc>
        <w:tc>
          <w:tcPr>
            <w:tcW w:w="238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0F0AB6EA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Model 3</w:t>
            </w:r>
          </w:p>
        </w:tc>
        <w:tc>
          <w:tcPr>
            <w:tcW w:w="241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2917EAF4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Model 2b</w:t>
            </w:r>
          </w:p>
        </w:tc>
        <w:tc>
          <w:tcPr>
            <w:tcW w:w="253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159D521C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Model 3b</w:t>
            </w:r>
          </w:p>
        </w:tc>
      </w:tr>
      <w:tr w14:paraId="41677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01" w:type="dxa"/>
            <w:vMerge w:val="continue"/>
            <w:tcBorders>
              <w:left w:val="nil"/>
              <w:bottom w:val="single" w:color="000000" w:sz="8" w:space="0"/>
              <w:right w:val="nil"/>
            </w:tcBorders>
            <w:vAlign w:val="center"/>
          </w:tcPr>
          <w:p w14:paraId="3D78EEEF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63732AA0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HR (95% CI)</w:t>
            </w:r>
          </w:p>
        </w:tc>
        <w:tc>
          <w:tcPr>
            <w:tcW w:w="85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54373A3A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65C1B7CE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HR (95% CI)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53B559E3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6F464390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HR (95% CI)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759ACCF1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4EB52D77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HR (95% CI)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179E0813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24A86C37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HR (95% CI)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6C4C2D01">
            <w:pPr>
              <w:widowControl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P-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value</w:t>
            </w:r>
          </w:p>
        </w:tc>
      </w:tr>
      <w:tr w14:paraId="5B00F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82365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Hospital mortality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2A5AB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A7200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464E1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F07BF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8F589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09017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49DFD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DF8BB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C07A7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E9D2F"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</w:tr>
      <w:tr w14:paraId="7604F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5ED32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Continuous variable per 1 unit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96F5B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1.17(1.07-1.28)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1C7E1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DEA10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1.17(1.07-1.28)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95429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E7566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1.16(1.02-1.32)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A8EFD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C5DF2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1.13 (1.02 ~ 1.26)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CE52F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0EE80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1.49 (1.08 ~ 2.04)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A87B4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0.014</w:t>
            </w:r>
          </w:p>
        </w:tc>
      </w:tr>
      <w:tr w14:paraId="0352C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A2AE97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Quartile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0B498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CE79D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E34F2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209A0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7ED35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3D8EE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5F1A8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4BA02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0C1DB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9D44F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</w:tr>
      <w:tr w14:paraId="11E1F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BF794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Q1 (N=515)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5A5D6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7CEA5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F69DB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CCF32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5ACCB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2DCB6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9FA5A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60611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39CEE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83FBC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7F3A9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A67AE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Q2 (N=515)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848C3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1.72 (1.01 - 2.94)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C56C7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9E689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1.72 (1.01 - 2.94)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DF23C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2A0D1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1.62 (0.94 - 2.79)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05488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7C0BF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2.39 (1.09 ~ 5.25)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A22F9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C7E27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1.48 (0.43 ~ 5.17)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073E3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0.535</w:t>
            </w:r>
          </w:p>
        </w:tc>
      </w:tr>
      <w:tr w14:paraId="6A422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98076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Q3 (N=514)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1E8A4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1.96 (1.17 - 3.28)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690C7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CFAC8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1.96 (1.17 - 3.29)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DB859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62B89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1.71 (1.01 - 2.89)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114B1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38FAF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3.09 (1.45 ~ 6.59)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C0E0F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414FD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2.95 (0.90 ~ 9.66)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608F3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0.074</w:t>
            </w:r>
          </w:p>
        </w:tc>
      </w:tr>
      <w:tr w14:paraId="21CC4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000E1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Q4 (N=515)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E6597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3.02 (1.90 - 4.80)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C585A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65055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3.02 (1.90 - 4.82)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4AC57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448D2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2.67 (1.64 - 4.34)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A5124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7BC67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4.25 (2.10 ~ 8.59)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38B97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F0755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5.76(1.77~18.71)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91BCD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0.004</w:t>
            </w:r>
          </w:p>
        </w:tc>
      </w:tr>
      <w:tr w14:paraId="31A28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230FB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ICU mortality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DE42C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767C3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4A6BD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D8703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15C93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94F1E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CF1F6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B4FD2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202E2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5588A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</w:tr>
      <w:tr w14:paraId="4C856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AB729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Continuous variable per 1 unit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18892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1.20 (1.09 - 1.32)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1195D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6D3D6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1.18 (1.07 - 1.30)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9846B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9E83E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1.16 (1.01 - 1.35)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F7788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94A30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1.13 (1.02 ~ 1.26)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FEC99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4AFA0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1.48 (1.04 ~ 2.12)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28BAD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0.031</w:t>
            </w:r>
          </w:p>
        </w:tc>
      </w:tr>
      <w:tr w14:paraId="389E0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E4E2E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Quartile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A038B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6B440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DE366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9AC53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4D80C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133C7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C36F3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50A6E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DE511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9A57A">
            <w:pPr>
              <w:widowControl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</w:tr>
      <w:tr w14:paraId="17024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BE7EA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Q1 (N=515)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ACC5D0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D932F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424A7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EE573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52AE4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B5CEB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89961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121BD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F8211C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Ref.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AF3A9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4092E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EF464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Q2 (N=515)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276DE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2.33 (1.08 - 5.01)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71AFB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330473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2.27 (1.05 - 4.88)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E6D85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C5491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1.91 (0.88 - 4.14)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4522EF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0.102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9DFA6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2.31 (0.94 ~ 5.67)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5BF52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0.068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9625D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2.82 (0.61 ~ 13.12)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F5EC0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0.187</w:t>
            </w:r>
          </w:p>
        </w:tc>
      </w:tr>
      <w:tr w14:paraId="52A8F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602AE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Q3 (N=514)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1B06C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2.64 (1.26 - 5.54)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9BF3B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A036B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2.58 (1.23 - 5.43)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1E735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AF8CBB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2.16 (1.01 – 4.59)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6CFC7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DEA12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2.86 (1.20 ~ 6.81)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99A25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B3C9B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2.73 (0.57 ~ 13.03)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0E4DD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0.208</w:t>
            </w:r>
          </w:p>
        </w:tc>
      </w:tr>
      <w:tr w14:paraId="2EEB6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00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37BEA7E6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Q4 (N=515)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283BE8FD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4.70 (2.40 - 9.21)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1D6601DC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6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6D62277E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4.53 (2.30 - 8.91)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6991ED0E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1E401BAA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3.73 (1.86 – 7.49)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1C71F99D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5B81BFFE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4.25 (1.91 ~ 9.43)</w:t>
            </w:r>
          </w:p>
        </w:tc>
        <w:tc>
          <w:tcPr>
            <w:tcW w:w="90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1BAF69D0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337B11AD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5.71 (1.28 ~ 25.49)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</w:tcPr>
          <w:p w14:paraId="1361EDC5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0.022</w:t>
            </w:r>
          </w:p>
        </w:tc>
      </w:tr>
      <w:tr w14:paraId="4228E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B24B4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BBE05"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59B3D"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12956"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B883C"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61DEC"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69C15"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EB80F"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7D68A"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E43B9"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8F702">
            <w:pPr>
              <w:widowControl/>
              <w:jc w:val="left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</w:tr>
      <w:tr w14:paraId="1C596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42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8BB62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1: unadjusted</w:t>
            </w:r>
          </w:p>
        </w:tc>
      </w:tr>
      <w:tr w14:paraId="74F0A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42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7C155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2,2b: adjusted for age, sex, BMI</w:t>
            </w:r>
          </w:p>
        </w:tc>
      </w:tr>
      <w:tr w14:paraId="022CF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42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D7E23"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Model 3,3b: adjusted for age, sex, BMI, TG, TC, HDL,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sodium,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potassium, HR, MBP, HF, type 2 diabetes, ARF, CKD, AMI, AF, PCI, sepsis.</w:t>
            </w:r>
          </w:p>
        </w:tc>
      </w:tr>
      <w:bookmarkEnd w:id="0"/>
    </w:tbl>
    <w:p w14:paraId="20FC0281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Model 1 only contains the independent variable, so the missing data does not affect the results. Models 2b and 3b </w:t>
      </w:r>
      <w:r>
        <w:rPr>
          <w:rFonts w:hint="default" w:ascii="Times New Roman" w:hAnsi="Times New Roman" w:cs="Times New Roman"/>
          <w:sz w:val="18"/>
          <w:szCs w:val="18"/>
          <w:lang w:val="en-US"/>
        </w:rPr>
        <w:t>use t</w:t>
      </w:r>
      <w:r>
        <w:rPr>
          <w:rFonts w:hint="default" w:ascii="Times New Roman" w:hAnsi="Times New Roman" w:cs="Times New Roman"/>
          <w:sz w:val="18"/>
          <w:szCs w:val="18"/>
        </w:rPr>
        <w:t>he unfilled data</w:t>
      </w:r>
      <w:r>
        <w:rPr>
          <w:rFonts w:hint="default" w:ascii="Times New Roman" w:hAnsi="Times New Roman" w:cs="Times New Roman"/>
          <w:sz w:val="18"/>
          <w:szCs w:val="18"/>
          <w:lang w:val="en-US"/>
        </w:rPr>
        <w:t xml:space="preserve"> for </w:t>
      </w:r>
      <w:r>
        <w:rPr>
          <w:rFonts w:hint="default" w:ascii="Times New Roman" w:hAnsi="Times New Roman" w:cs="Times New Roman"/>
          <w:sz w:val="18"/>
          <w:szCs w:val="18"/>
        </w:rPr>
        <w:t>Cox analyses</w:t>
      </w:r>
      <w:r>
        <w:rPr>
          <w:rFonts w:hint="default" w:ascii="Times New Roman" w:hAnsi="Times New Roman" w:cs="Times New Roman"/>
          <w:sz w:val="18"/>
          <w:szCs w:val="18"/>
          <w:lang w:val="en-US"/>
        </w:rPr>
        <w:t>.</w:t>
      </w:r>
    </w:p>
    <w:p w14:paraId="6195A7E6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Subscript a indicates that when the Cox analysis is performed using unfilled data, the results differ from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18"/>
          <w:szCs w:val="18"/>
        </w:rPr>
        <w:t>P value obtained using the data after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</w:rPr>
        <w:t>imputation.</w:t>
      </w:r>
    </w:p>
    <w:p w14:paraId="64F89B5E">
      <w:pPr>
        <w:rPr>
          <w:rFonts w:hint="default" w:ascii="Times New Roman" w:hAnsi="Times New Roman" w:cs="Times New Roman"/>
          <w:sz w:val="18"/>
          <w:szCs w:val="1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VlMTRhM2E5MGE1MjZhMzkyYzEzNTllNWVlYjZlOTQifQ=="/>
  </w:docVars>
  <w:rsids>
    <w:rsidRoot w:val="00337A26"/>
    <w:rsid w:val="00113C0C"/>
    <w:rsid w:val="001C2E5E"/>
    <w:rsid w:val="00337A26"/>
    <w:rsid w:val="004B7CF6"/>
    <w:rsid w:val="008F5308"/>
    <w:rsid w:val="00904AB1"/>
    <w:rsid w:val="00A75345"/>
    <w:rsid w:val="00C460AE"/>
    <w:rsid w:val="00E37370"/>
    <w:rsid w:val="00F91C52"/>
    <w:rsid w:val="00FE149D"/>
    <w:rsid w:val="0CD221CA"/>
    <w:rsid w:val="61A8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character" w:customStyle="1" w:styleId="8">
    <w:name w:val="font41"/>
    <w:basedOn w:val="5"/>
    <w:qFormat/>
    <w:uiPriority w:val="0"/>
    <w:rPr>
      <w:rFonts w:hint="default" w:ascii="Times New Roman" w:hAnsi="Times New Roman" w:cs="Times New Roman"/>
      <w:b/>
      <w:bCs/>
      <w:i/>
      <w:iCs/>
      <w:color w:val="000000"/>
      <w:sz w:val="15"/>
      <w:szCs w:val="15"/>
      <w:u w:val="none"/>
    </w:rPr>
  </w:style>
  <w:style w:type="character" w:customStyle="1" w:styleId="9">
    <w:name w:val="font31"/>
    <w:basedOn w:val="5"/>
    <w:uiPriority w:val="0"/>
    <w:rPr>
      <w:rFonts w:hint="default" w:ascii="Times New Roman" w:hAnsi="Times New Roman" w:cs="Times New Roman"/>
      <w:b/>
      <w:bCs/>
      <w:color w:val="000000"/>
      <w:sz w:val="15"/>
      <w:szCs w:val="15"/>
      <w:u w:val="none"/>
    </w:rPr>
  </w:style>
  <w:style w:type="character" w:customStyle="1" w:styleId="10">
    <w:name w:val="font61"/>
    <w:basedOn w:val="5"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1">
    <w:name w:val="font7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  <w:vertAlign w:val="superscript"/>
    </w:rPr>
  </w:style>
  <w:style w:type="character" w:customStyle="1" w:styleId="12">
    <w:name w:val="font81"/>
    <w:basedOn w:val="5"/>
    <w:qFormat/>
    <w:uiPriority w:val="0"/>
    <w:rPr>
      <w:rFonts w:hint="eastAsia" w:ascii="等线" w:hAnsi="等线" w:eastAsia="等线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1723</Characters>
  <Lines>13</Lines>
  <Paragraphs>3</Paragraphs>
  <TotalTime>1</TotalTime>
  <ScaleCrop>false</ScaleCrop>
  <LinksUpToDate>false</LinksUpToDate>
  <CharactersWithSpaces>1973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2024-11-01T04:06:00Z</dcterms:created>
  <dc:creator>fun demo</dc:creator>
  <cp:lastModifiedBy>Smulkin</cp:lastModifiedBy>
  <dcterms:modified xsi:type="dcterms:W3CDTF">2024-11-04T02:03:18Z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41545E706A99445CBF4586C0EAFC5CF5_12</vt:lpwstr>
  </property>
</Properties>
</file>