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before="40" w:line="48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327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270"/>
      </w:tblGrid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9a9a9a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clear" w:color="auto" w:fill="ffffff"/>
                <w:rtl w:val="0"/>
                <w:lang w:val="en-US"/>
              </w:rPr>
              <w:t>Candidate features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Age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Biological Sex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Basophils (n)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Basophils (%)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Eosinophils (n)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Eosinophils (%)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Hematocrit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Hemoglobin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Lymphocytes (n)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Lymphocytes (%)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MCH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MCHC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MCV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Monocytes (n)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Monocytes (%)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MPV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Neutrophils (n)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Neutrophils (%)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Platelets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RBC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RDW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WBC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Albumin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ALKP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ALT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AST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Bilirubin Total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Calcium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Creatinine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Glucose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Potassium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Sodium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Phosphor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Protein Total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Urea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Uric Acid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000000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Ferritin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270"/>
            <w:tcBorders>
              <w:top w:val="single" w:color="000000" w:sz="6" w:space="0" w:shadow="0" w:frame="0"/>
              <w:left w:val="single" w:color="9a9a9a" w:sz="6" w:space="0" w:shadow="0" w:frame="0"/>
              <w:bottom w:val="single" w:color="9a9a9a" w:sz="6" w:space="0" w:shadow="0" w:frame="0"/>
              <w:right w:val="single" w:color="9a9a9a" w:sz="6" w:space="0" w:shadow="0" w:frame="0"/>
            </w:tcBorders>
            <w:shd w:val="clear" w:color="auto" w:fill="f6f6f6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line="480" w:lineRule="auto"/>
              <w:jc w:val="both"/>
            </w:pPr>
            <w:r>
              <w:rPr>
                <w:rFonts w:ascii="Times New Roman" w:hAnsi="Times New Roman"/>
                <w:outline w:val="0"/>
                <w:color w:val="161516"/>
                <w:sz w:val="24"/>
                <w:szCs w:val="24"/>
                <w:u w:color="161516"/>
                <w:shd w:val="clear" w:color="auto" w:fill="ffffff"/>
                <w:rtl w:val="0"/>
                <w:lang w:val="en-US"/>
                <w14:textFill>
                  <w14:solidFill>
                    <w14:srgbClr w14:val="161516"/>
                  </w14:solidFill>
                </w14:textFill>
              </w:rPr>
              <w:t>HDL</w:t>
            </w:r>
          </w:p>
        </w:tc>
      </w:tr>
    </w:tbl>
    <w:p>
      <w:pPr>
        <w:pStyle w:val="Body"/>
        <w:widowControl w:val="0"/>
        <w:spacing w:before="4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before="40" w:line="48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 xml:space="preserve">Supplementary Table S1. </w:t>
      </w:r>
      <w:r>
        <w:rPr>
          <w:rFonts w:ascii="Times New Roman" w:hAnsi="Times New Roman"/>
          <w:sz w:val="24"/>
          <w:szCs w:val="24"/>
          <w:rtl w:val="0"/>
          <w:lang w:val="en-US"/>
        </w:rPr>
        <w:t>Laboratory and demographic features used as model input.</w:t>
      </w:r>
    </w:p>
    <w:p>
      <w:pPr>
        <w:pStyle w:val="Body"/>
        <w:spacing w:before="40" w:line="48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before="40" w:line="48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tbl>
      <w:tblPr>
        <w:tblW w:w="828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355"/>
        <w:gridCol w:w="3165"/>
        <w:gridCol w:w="2760"/>
      </w:tblGrid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35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Algorithm</w:t>
            </w:r>
          </w:p>
        </w:tc>
        <w:tc>
          <w:tcPr>
            <w:tcW w:type="dxa" w:w="31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Package</w:t>
            </w:r>
          </w:p>
        </w:tc>
        <w:tc>
          <w:tcPr>
            <w:tcW w:type="dxa" w:w="27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Tuning Parameters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35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Logistic regression</w:t>
            </w:r>
          </w:p>
        </w:tc>
        <w:tc>
          <w:tcPr>
            <w:tcW w:type="dxa" w:w="31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LogisticRegression</w:t>
            </w:r>
          </w:p>
        </w:tc>
        <w:tc>
          <w:tcPr>
            <w:tcW w:type="dxa" w:w="27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C, penalty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35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Decision tree</w:t>
            </w:r>
          </w:p>
        </w:tc>
        <w:tc>
          <w:tcPr>
            <w:tcW w:type="dxa" w:w="31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DecisionTreeClassifier</w:t>
            </w:r>
          </w:p>
        </w:tc>
        <w:tc>
          <w:tcPr>
            <w:tcW w:type="dxa" w:w="27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max_depth, criterion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35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Random forest</w:t>
            </w:r>
          </w:p>
        </w:tc>
        <w:tc>
          <w:tcPr>
            <w:tcW w:type="dxa" w:w="31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RandomForestClassifier</w:t>
            </w:r>
          </w:p>
        </w:tc>
        <w:tc>
          <w:tcPr>
            <w:tcW w:type="dxa" w:w="27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n_estimators, max_depth</w:t>
            </w:r>
          </w:p>
        </w:tc>
      </w:tr>
      <w:tr>
        <w:tblPrEx>
          <w:shd w:val="clear" w:color="auto" w:fill="ced7e7"/>
        </w:tblPrEx>
        <w:trPr>
          <w:trHeight w:val="1510" w:hRule="atLeast"/>
        </w:trPr>
        <w:tc>
          <w:tcPr>
            <w:tcW w:type="dxa" w:w="235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XGBoost</w:t>
            </w:r>
          </w:p>
        </w:tc>
        <w:tc>
          <w:tcPr>
            <w:tcW w:type="dxa" w:w="31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GradientBoostingClassifier</w:t>
            </w:r>
          </w:p>
        </w:tc>
        <w:tc>
          <w:tcPr>
            <w:tcW w:type="dxa" w:w="27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learning_rate, n_estimators, max_depth, reg_alpha, min_child_weight, max_bin</w:t>
            </w:r>
          </w:p>
        </w:tc>
      </w:tr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235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Multilayer perceptron</w:t>
            </w:r>
          </w:p>
        </w:tc>
        <w:tc>
          <w:tcPr>
            <w:tcW w:type="dxa" w:w="31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MLPClassifier</w:t>
            </w:r>
          </w:p>
        </w:tc>
        <w:tc>
          <w:tcPr>
            <w:tcW w:type="dxa" w:w="27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learning_rate_init, hidden_layer_sizes</w:t>
            </w:r>
          </w:p>
        </w:tc>
      </w:tr>
    </w:tbl>
    <w:p>
      <w:pPr>
        <w:pStyle w:val="Body"/>
        <w:widowControl w:val="0"/>
        <w:spacing w:before="4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before="40" w:line="48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Supplemental Table S2</w:t>
      </w:r>
      <w:r>
        <w:rPr>
          <w:rFonts w:ascii="Times New Roman" w:hAnsi="Times New Roman"/>
          <w:sz w:val="24"/>
          <w:szCs w:val="24"/>
          <w:rtl w:val="0"/>
          <w:lang w:val="en-US"/>
        </w:rPr>
        <w:t>. Tuning parameters used for each machine learning algorithm.</w:t>
      </w:r>
    </w:p>
    <w:p>
      <w:pPr>
        <w:pStyle w:val="Body"/>
      </w:pPr>
    </w:p>
    <w:tbl>
      <w:tblPr>
        <w:tblW w:w="93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872"/>
        <w:gridCol w:w="1872"/>
        <w:gridCol w:w="1872"/>
        <w:gridCol w:w="1872"/>
        <w:gridCol w:w="1872"/>
      </w:tblGrid>
      <w:tr>
        <w:tblPrEx>
          <w:shd w:val="clear" w:color="auto" w:fill="ced7e7"/>
        </w:tblPrEx>
        <w:trPr>
          <w:trHeight w:val="460" w:hRule="atLeast"/>
        </w:trPr>
        <w:tc>
          <w:tcPr>
            <w:tcW w:type="dxa" w:w="1872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widowControl w:val="0"/>
              <w:bidi w:val="0"/>
              <w:spacing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Model</w:t>
            </w:r>
          </w:p>
        </w:tc>
        <w:tc>
          <w:tcPr>
            <w:tcW w:type="dxa" w:w="7488"/>
            <w:gridSpan w:val="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Gap</w:t>
            </w:r>
          </w:p>
        </w:tc>
      </w:tr>
      <w:tr>
        <w:tblPrEx>
          <w:shd w:val="clear" w:color="auto" w:fill="ced7e7"/>
        </w:tblPrEx>
        <w:trPr>
          <w:trHeight w:val="460" w:hRule="atLeast"/>
        </w:trPr>
        <w:tc>
          <w:tcPr>
            <w:tcW w:type="dxa" w:w="1872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1-year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2-year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3-year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4-year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XGBoost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85.81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82.94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82.46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81.38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LR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84.55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82.71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81.42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81.00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RF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82.76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79.69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78.56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78.13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MLP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80.46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79.53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77.54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74.59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DT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77.14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72.12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71.15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70.;23</w:t>
            </w:r>
          </w:p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</w:p>
    <w:p>
      <w:pPr>
        <w:pStyle w:val="Body"/>
      </w:pPr>
      <w:r>
        <w:rPr>
          <w:b w:val="1"/>
          <w:bCs w:val="1"/>
          <w:rtl w:val="0"/>
          <w:lang w:val="en-US"/>
        </w:rPr>
        <w:t xml:space="preserve">Supplementary Table </w:t>
      </w:r>
      <w:r>
        <w:rPr>
          <w:b w:val="1"/>
          <w:bCs w:val="1"/>
          <w:rtl w:val="0"/>
          <w:lang w:val="en-US"/>
        </w:rPr>
        <w:t>S</w:t>
      </w:r>
      <w:r>
        <w:rPr>
          <w:b w:val="1"/>
          <w:bCs w:val="1"/>
          <w:rtl w:val="0"/>
        </w:rPr>
        <w:t>3.</w:t>
      </w:r>
      <w:r>
        <w:rPr>
          <w:rtl w:val="0"/>
          <w:lang w:val="en-US"/>
        </w:rPr>
        <w:t xml:space="preserve"> AUC of each model as measured in the highly seropositive population (</w:t>
      </w:r>
      <w:r>
        <w:rPr>
          <w:rFonts w:ascii="Times New Roman" w:hAnsi="Times New Roman"/>
          <w:sz w:val="24"/>
          <w:szCs w:val="24"/>
          <w:rtl w:val="0"/>
          <w:lang w:val="en-US"/>
        </w:rPr>
        <w:t>tTG-IgA&gt;10X ULN</w:t>
      </w:r>
      <w:r>
        <w:rPr>
          <w:rtl w:val="0"/>
          <w:lang w:val="en-US"/>
        </w:rPr>
        <w:t xml:space="preserve">) vs controls. The models tested are XGBoost, logistic regression (LR), random forest (RF), </w:t>
      </w:r>
      <w:r>
        <w:rPr>
          <w:sz w:val="24"/>
          <w:szCs w:val="24"/>
          <w:rtl w:val="0"/>
          <w:lang w:val="en-US"/>
        </w:rPr>
        <w:t>multilayer perceptron (MLP) and decision tree (DT).</w:t>
      </w: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tbl>
      <w:tblPr>
        <w:tblW w:w="93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872"/>
        <w:gridCol w:w="1872"/>
        <w:gridCol w:w="1872"/>
        <w:gridCol w:w="1872"/>
        <w:gridCol w:w="1872"/>
      </w:tblGrid>
      <w:tr>
        <w:tblPrEx>
          <w:shd w:val="clear" w:color="auto" w:fill="ced7e7"/>
        </w:tblPrEx>
        <w:trPr>
          <w:trHeight w:val="460" w:hRule="atLeast"/>
        </w:trPr>
        <w:tc>
          <w:tcPr>
            <w:tcW w:type="dxa" w:w="1872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widowControl w:val="0"/>
              <w:bidi w:val="0"/>
              <w:spacing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Model</w:t>
            </w:r>
          </w:p>
        </w:tc>
        <w:tc>
          <w:tcPr>
            <w:tcW w:type="dxa" w:w="7488"/>
            <w:gridSpan w:val="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Gap</w:t>
            </w:r>
          </w:p>
        </w:tc>
      </w:tr>
      <w:tr>
        <w:tblPrEx>
          <w:shd w:val="clear" w:color="auto" w:fill="ced7e7"/>
        </w:tblPrEx>
        <w:trPr>
          <w:trHeight w:val="460" w:hRule="atLeast"/>
        </w:trPr>
        <w:tc>
          <w:tcPr>
            <w:tcW w:type="dxa" w:w="1872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1-year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2-year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3-year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4-year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XGBoost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79.09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76.70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74.75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75.25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LR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77.71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76.37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75.57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74.39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RF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78.38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75.08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74.05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74.28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MLP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74.79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72.45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70.51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69.37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DT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72.10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68.56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68.31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68.42</w:t>
            </w:r>
          </w:p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</w:p>
    <w:p>
      <w:pPr>
        <w:pStyle w:val="Body"/>
      </w:pPr>
      <w:r>
        <w:rPr>
          <w:b w:val="1"/>
          <w:bCs w:val="1"/>
          <w:rtl w:val="0"/>
          <w:lang w:val="en-US"/>
        </w:rPr>
        <w:t xml:space="preserve">Supplementary Table </w:t>
      </w:r>
      <w:r>
        <w:rPr>
          <w:b w:val="1"/>
          <w:bCs w:val="1"/>
          <w:rtl w:val="0"/>
          <w:lang w:val="en-US"/>
        </w:rPr>
        <w:t>S</w:t>
      </w:r>
      <w:r>
        <w:rPr>
          <w:b w:val="1"/>
          <w:bCs w:val="1"/>
          <w:rtl w:val="0"/>
        </w:rPr>
        <w:t>4.</w:t>
      </w:r>
      <w:r>
        <w:rPr>
          <w:rtl w:val="0"/>
          <w:lang w:val="en-US"/>
        </w:rPr>
        <w:t xml:space="preserve"> AUC of each model as measured in the seropositive population (</w:t>
      </w:r>
      <w:r>
        <w:rPr>
          <w:rFonts w:ascii="Times New Roman" w:hAnsi="Times New Roman"/>
          <w:sz w:val="24"/>
          <w:szCs w:val="24"/>
          <w:rtl w:val="0"/>
          <w:lang w:val="en-US"/>
        </w:rPr>
        <w:t>tTG-IgA&gt;2X ULN</w:t>
      </w:r>
      <w:r>
        <w:rPr>
          <w:rtl w:val="0"/>
          <w:lang w:val="en-US"/>
        </w:rPr>
        <w:t xml:space="preserve">) vs controls. The models tested are XGBoost, logistic regression (LR), random forest (RF), </w:t>
      </w:r>
      <w:r>
        <w:rPr>
          <w:sz w:val="24"/>
          <w:szCs w:val="24"/>
          <w:rtl w:val="0"/>
          <w:lang w:val="en-US"/>
        </w:rPr>
        <w:t>multilayer perceptron (MLP) and decision tree (DT).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